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E433" w14:textId="2A1A9309" w:rsidR="008C5DDF" w:rsidRDefault="008C5DDF" w:rsidP="008C5DDF">
      <w:pPr>
        <w:jc w:val="center"/>
        <w:rPr>
          <w:b/>
          <w:bCs/>
        </w:rPr>
      </w:pPr>
      <w:proofErr w:type="spellStart"/>
      <w:r>
        <w:rPr>
          <w:b/>
          <w:bCs/>
        </w:rPr>
        <w:t>Caselets</w:t>
      </w:r>
      <w:proofErr w:type="spellEnd"/>
      <w:r>
        <w:rPr>
          <w:b/>
          <w:bCs/>
        </w:rPr>
        <w:t xml:space="preserve"> on the computation of Bond maturity date and Intrinsic Value</w:t>
      </w:r>
    </w:p>
    <w:p w14:paraId="5C6BA24D" w14:textId="77777777" w:rsidR="008C5DDF" w:rsidRDefault="008C5DDF" w:rsidP="007A01B2">
      <w:pPr>
        <w:rPr>
          <w:b/>
          <w:bCs/>
        </w:rPr>
      </w:pPr>
    </w:p>
    <w:p w14:paraId="51F97D01" w14:textId="2B865B5C" w:rsidR="007A01B2" w:rsidRPr="007A01B2" w:rsidRDefault="007A01B2" w:rsidP="007A01B2">
      <w:pPr>
        <w:rPr>
          <w:b/>
          <w:bCs/>
        </w:rPr>
      </w:pPr>
      <w:proofErr w:type="spellStart"/>
      <w:r w:rsidRPr="007A01B2">
        <w:rPr>
          <w:b/>
          <w:bCs/>
        </w:rPr>
        <w:t>Caselet</w:t>
      </w:r>
      <w:proofErr w:type="spellEnd"/>
      <w:r w:rsidRPr="007A01B2">
        <w:rPr>
          <w:b/>
          <w:bCs/>
        </w:rPr>
        <w:t>: Tata Green Energy Bond</w:t>
      </w:r>
    </w:p>
    <w:p w14:paraId="6B3D6395" w14:textId="77777777" w:rsidR="007A01B2" w:rsidRPr="007A01B2" w:rsidRDefault="007A01B2" w:rsidP="007A01B2">
      <w:r w:rsidRPr="007A01B2">
        <w:t xml:space="preserve">Tata Green Energy Bond, issued on </w:t>
      </w:r>
      <w:r w:rsidRPr="007A01B2">
        <w:rPr>
          <w:b/>
          <w:bCs/>
        </w:rPr>
        <w:t>February 15, 2017</w:t>
      </w:r>
      <w:r w:rsidRPr="007A01B2">
        <w:t xml:space="preserve">, offers an exciting investment opportunity in sustainable energy initiatives. With a face value of ₹1,000 and a </w:t>
      </w:r>
      <w:r w:rsidRPr="007A01B2">
        <w:rPr>
          <w:b/>
          <w:bCs/>
        </w:rPr>
        <w:t>coupon rate of 5.50%</w:t>
      </w:r>
      <w:r w:rsidRPr="007A01B2">
        <w:t xml:space="preserve">, it pays semi-annual coupons, making it an attractive fixed-income security. The bond has a remaining term of </w:t>
      </w:r>
      <w:r w:rsidRPr="007A01B2">
        <w:rPr>
          <w:b/>
          <w:bCs/>
        </w:rPr>
        <w:t>10.5 years</w:t>
      </w:r>
      <w:r w:rsidRPr="007A01B2">
        <w:t xml:space="preserve">, and investors can acquire it at a discounted price of ₹975, reflecting a </w:t>
      </w:r>
      <w:r w:rsidRPr="007A01B2">
        <w:rPr>
          <w:b/>
          <w:bCs/>
        </w:rPr>
        <w:t>required return (yield) of 7.25%</w:t>
      </w:r>
      <w:r w:rsidRPr="007A01B2">
        <w:t xml:space="preserve">. The bond adheres to the </w:t>
      </w:r>
      <w:r w:rsidRPr="007A01B2">
        <w:rPr>
          <w:b/>
          <w:bCs/>
        </w:rPr>
        <w:t>Actual/Actual</w:t>
      </w:r>
      <w:r w:rsidRPr="007A01B2">
        <w:t xml:space="preserve"> day count convention, ensuring precise interest calculations.</w:t>
      </w:r>
    </w:p>
    <w:p w14:paraId="2D222B43" w14:textId="77777777" w:rsidR="007A01B2" w:rsidRPr="007A01B2" w:rsidRDefault="007A01B2" w:rsidP="007A01B2">
      <w:pPr>
        <w:numPr>
          <w:ilvl w:val="0"/>
          <w:numId w:val="1"/>
        </w:numPr>
      </w:pPr>
      <w:r w:rsidRPr="007A01B2">
        <w:rPr>
          <w:b/>
          <w:bCs/>
        </w:rPr>
        <w:t>Question 1:</w:t>
      </w:r>
      <w:r w:rsidRPr="007A01B2">
        <w:t xml:space="preserve"> Compute the bond's maturity date using the settlement date and term.</w:t>
      </w:r>
    </w:p>
    <w:p w14:paraId="12E284FB" w14:textId="77777777" w:rsidR="007A01B2" w:rsidRDefault="007A01B2" w:rsidP="007A01B2">
      <w:pPr>
        <w:numPr>
          <w:ilvl w:val="0"/>
          <w:numId w:val="1"/>
        </w:numPr>
      </w:pPr>
      <w:r w:rsidRPr="007A01B2">
        <w:rPr>
          <w:b/>
          <w:bCs/>
        </w:rPr>
        <w:t>Question 2:</w:t>
      </w:r>
      <w:r w:rsidRPr="007A01B2">
        <w:t xml:space="preserve"> Calculate the theoretical value of the bond using the given details, including coupon rate, yield to maturity, frequency of payments, and face value.</w:t>
      </w:r>
    </w:p>
    <w:p w14:paraId="6E7F134E" w14:textId="77777777" w:rsidR="00A92EDB" w:rsidRPr="007A01B2" w:rsidRDefault="00A92EDB" w:rsidP="00A92EDB">
      <w:pPr>
        <w:ind w:left="720"/>
      </w:pPr>
    </w:p>
    <w:p w14:paraId="277EB825" w14:textId="77777777" w:rsidR="00555D91" w:rsidRPr="00555D91" w:rsidRDefault="00555D91" w:rsidP="00555D91">
      <w:pPr>
        <w:rPr>
          <w:b/>
          <w:bCs/>
        </w:rPr>
      </w:pPr>
      <w:proofErr w:type="spellStart"/>
      <w:r w:rsidRPr="00555D91">
        <w:rPr>
          <w:b/>
          <w:bCs/>
        </w:rPr>
        <w:t>Caselet</w:t>
      </w:r>
      <w:proofErr w:type="spellEnd"/>
      <w:r w:rsidRPr="00555D91">
        <w:rPr>
          <w:b/>
          <w:bCs/>
        </w:rPr>
        <w:t xml:space="preserve">: Reliance </w:t>
      </w:r>
      <w:proofErr w:type="spellStart"/>
      <w:r w:rsidRPr="00555D91">
        <w:rPr>
          <w:b/>
          <w:bCs/>
        </w:rPr>
        <w:t>InfraBond</w:t>
      </w:r>
      <w:proofErr w:type="spellEnd"/>
    </w:p>
    <w:p w14:paraId="436B369D" w14:textId="77777777" w:rsidR="00555D91" w:rsidRPr="00555D91" w:rsidRDefault="00555D91" w:rsidP="00555D91">
      <w:r w:rsidRPr="00555D91">
        <w:t xml:space="preserve">Reliance </w:t>
      </w:r>
      <w:proofErr w:type="spellStart"/>
      <w:r w:rsidRPr="00555D91">
        <w:t>InfraBond</w:t>
      </w:r>
      <w:proofErr w:type="spellEnd"/>
      <w:r w:rsidRPr="00555D91">
        <w:t xml:space="preserve">, issued on </w:t>
      </w:r>
      <w:r w:rsidRPr="00555D91">
        <w:rPr>
          <w:b/>
          <w:bCs/>
        </w:rPr>
        <w:t>April 30, 2024</w:t>
      </w:r>
      <w:r w:rsidRPr="00555D91">
        <w:t xml:space="preserve">, offers an excellent fixed-income investment opportunity. With a face value of ₹10,000 and a </w:t>
      </w:r>
      <w:r w:rsidRPr="00555D91">
        <w:rPr>
          <w:b/>
          <w:bCs/>
        </w:rPr>
        <w:t>coupon rate of 5.00%</w:t>
      </w:r>
      <w:r w:rsidRPr="00555D91">
        <w:t xml:space="preserve">, it pays quarterly coupons, ensuring regular cash flows for investors. The bond has a remaining term of </w:t>
      </w:r>
      <w:r w:rsidRPr="00555D91">
        <w:rPr>
          <w:b/>
          <w:bCs/>
        </w:rPr>
        <w:t>5.65 years</w:t>
      </w:r>
      <w:r w:rsidRPr="00555D91">
        <w:t xml:space="preserve"> and is available at a discounted price of ₹9,750, reflecting a </w:t>
      </w:r>
      <w:r w:rsidRPr="00555D91">
        <w:rPr>
          <w:b/>
          <w:bCs/>
        </w:rPr>
        <w:t>required return (yield) of 6.50%</w:t>
      </w:r>
      <w:r w:rsidRPr="00555D91">
        <w:t xml:space="preserve">. The bond adheres to the </w:t>
      </w:r>
      <w:r w:rsidRPr="00555D91">
        <w:rPr>
          <w:b/>
          <w:bCs/>
        </w:rPr>
        <w:t>Actual/Actual</w:t>
      </w:r>
      <w:r w:rsidRPr="00555D91">
        <w:t xml:space="preserve"> day count convention for precise interest calculations.</w:t>
      </w:r>
    </w:p>
    <w:p w14:paraId="031AF058" w14:textId="77777777" w:rsidR="00555D91" w:rsidRPr="00555D91" w:rsidRDefault="00555D91" w:rsidP="00555D91">
      <w:pPr>
        <w:numPr>
          <w:ilvl w:val="0"/>
          <w:numId w:val="4"/>
        </w:numPr>
      </w:pPr>
      <w:r w:rsidRPr="00555D91">
        <w:rPr>
          <w:b/>
          <w:bCs/>
        </w:rPr>
        <w:t>Question 1:</w:t>
      </w:r>
      <w:r w:rsidRPr="00555D91">
        <w:t xml:space="preserve"> Compute the bond's maturity date using the settlement date and term.</w:t>
      </w:r>
    </w:p>
    <w:p w14:paraId="3B830223" w14:textId="77777777" w:rsidR="00555D91" w:rsidRPr="00555D91" w:rsidRDefault="00555D91" w:rsidP="00555D91">
      <w:pPr>
        <w:numPr>
          <w:ilvl w:val="0"/>
          <w:numId w:val="4"/>
        </w:numPr>
      </w:pPr>
      <w:r w:rsidRPr="00555D91">
        <w:rPr>
          <w:b/>
          <w:bCs/>
        </w:rPr>
        <w:t>Question 2:</w:t>
      </w:r>
      <w:r w:rsidRPr="00555D91">
        <w:t xml:space="preserve"> Calculate the theoretical value of the bond using the given details, including coupon rate, yield to maturity, frequency of payments, and face value.</w:t>
      </w:r>
    </w:p>
    <w:p w14:paraId="2BF5CBF7" w14:textId="77777777" w:rsidR="00555D91" w:rsidRPr="00555D91" w:rsidRDefault="00000000" w:rsidP="00555D91">
      <w:r>
        <w:pict w14:anchorId="4AFE8818">
          <v:rect id="_x0000_i1026" style="width:0;height:1.5pt" o:hralign="center" o:hrstd="t" o:hr="t" fillcolor="#a0a0a0" stroked="f"/>
        </w:pict>
      </w:r>
    </w:p>
    <w:p w14:paraId="3BBBA599" w14:textId="1C1490F2" w:rsidR="006D25F1" w:rsidRDefault="006D25F1"/>
    <w:p w14:paraId="0107D16B" w14:textId="77777777" w:rsidR="00506D09" w:rsidRPr="00506D09" w:rsidRDefault="00506D09" w:rsidP="00506D09">
      <w:pPr>
        <w:rPr>
          <w:b/>
          <w:bCs/>
        </w:rPr>
      </w:pPr>
      <w:proofErr w:type="spellStart"/>
      <w:r w:rsidRPr="00506D09">
        <w:rPr>
          <w:b/>
          <w:bCs/>
        </w:rPr>
        <w:t>Caselet</w:t>
      </w:r>
      <w:proofErr w:type="spellEnd"/>
      <w:r w:rsidRPr="00506D09">
        <w:rPr>
          <w:b/>
          <w:bCs/>
        </w:rPr>
        <w:t>: Infosys Corporate Bond</w:t>
      </w:r>
    </w:p>
    <w:p w14:paraId="23F993C5" w14:textId="77777777" w:rsidR="00506D09" w:rsidRPr="00506D09" w:rsidRDefault="00506D09" w:rsidP="00506D09">
      <w:r w:rsidRPr="00506D09">
        <w:t xml:space="preserve">Infosys Corporate Bond, issued on </w:t>
      </w:r>
      <w:r w:rsidRPr="00506D09">
        <w:rPr>
          <w:b/>
          <w:bCs/>
        </w:rPr>
        <w:t>November 12, 2022</w:t>
      </w:r>
      <w:r w:rsidRPr="00506D09">
        <w:t xml:space="preserve">, provides a stable fixed-income investment opportunity. With a face value of ₹50,000 and a </w:t>
      </w:r>
      <w:r w:rsidRPr="00506D09">
        <w:rPr>
          <w:b/>
          <w:bCs/>
        </w:rPr>
        <w:t>coupon rate of 8.00%</w:t>
      </w:r>
      <w:r w:rsidRPr="00506D09">
        <w:t xml:space="preserve">, it pays semi-annual coupons, ensuring consistent cash flows for investors. The bond has a remaining term of </w:t>
      </w:r>
      <w:r w:rsidRPr="00506D09">
        <w:rPr>
          <w:b/>
          <w:bCs/>
        </w:rPr>
        <w:t>15.35 years</w:t>
      </w:r>
      <w:r w:rsidRPr="00506D09">
        <w:t xml:space="preserve"> and is available at a discounted price of ₹48,750, reflecting a </w:t>
      </w:r>
      <w:r w:rsidRPr="00506D09">
        <w:rPr>
          <w:b/>
          <w:bCs/>
        </w:rPr>
        <w:t>required return (yield) of 7.25%</w:t>
      </w:r>
      <w:r w:rsidRPr="00506D09">
        <w:t xml:space="preserve">. The bond adheres to the </w:t>
      </w:r>
      <w:r w:rsidRPr="00506D09">
        <w:rPr>
          <w:b/>
          <w:bCs/>
        </w:rPr>
        <w:t>Actual/Actual</w:t>
      </w:r>
      <w:r w:rsidRPr="00506D09">
        <w:t xml:space="preserve"> day count convention for accurate interest computations.</w:t>
      </w:r>
    </w:p>
    <w:p w14:paraId="38A6B240" w14:textId="77777777" w:rsidR="00506D09" w:rsidRPr="00506D09" w:rsidRDefault="00506D09" w:rsidP="00506D09">
      <w:pPr>
        <w:numPr>
          <w:ilvl w:val="0"/>
          <w:numId w:val="7"/>
        </w:numPr>
      </w:pPr>
      <w:r w:rsidRPr="00506D09">
        <w:rPr>
          <w:b/>
          <w:bCs/>
        </w:rPr>
        <w:t>Question 1:</w:t>
      </w:r>
      <w:r w:rsidRPr="00506D09">
        <w:t xml:space="preserve"> Compute the bond's maturity date using the settlement date and term.</w:t>
      </w:r>
    </w:p>
    <w:p w14:paraId="6E1123BE" w14:textId="77777777" w:rsidR="00506D09" w:rsidRPr="00506D09" w:rsidRDefault="00506D09" w:rsidP="00506D09">
      <w:pPr>
        <w:numPr>
          <w:ilvl w:val="0"/>
          <w:numId w:val="7"/>
        </w:numPr>
      </w:pPr>
      <w:r w:rsidRPr="00506D09">
        <w:rPr>
          <w:b/>
          <w:bCs/>
        </w:rPr>
        <w:t>Question 2:</w:t>
      </w:r>
      <w:r w:rsidRPr="00506D09">
        <w:t xml:space="preserve"> Calculate the theoretical value of the bond using the given details, including coupon rate, yield to maturity, frequency of payments, and face value.</w:t>
      </w:r>
    </w:p>
    <w:p w14:paraId="6F0AA986" w14:textId="34149AC6" w:rsidR="00506D09" w:rsidRPr="00506D09" w:rsidRDefault="00000000" w:rsidP="00A92EDB">
      <w:r>
        <w:pict w14:anchorId="3EB61ECC">
          <v:rect id="_x0000_i1028" style="width:0;height:1.5pt" o:hralign="center" o:hrstd="t" o:hr="t" fillcolor="#a0a0a0" stroked="f"/>
        </w:pict>
      </w:r>
    </w:p>
    <w:p w14:paraId="59629E60" w14:textId="6FD7BF66" w:rsidR="00506D09" w:rsidRDefault="00506D09">
      <w:r>
        <w:br w:type="page"/>
      </w:r>
    </w:p>
    <w:p w14:paraId="393DFAE2" w14:textId="77777777" w:rsidR="00076706" w:rsidRPr="00076706" w:rsidRDefault="00076706" w:rsidP="00076706">
      <w:pPr>
        <w:rPr>
          <w:b/>
          <w:bCs/>
        </w:rPr>
      </w:pPr>
      <w:proofErr w:type="spellStart"/>
      <w:r w:rsidRPr="00076706">
        <w:rPr>
          <w:b/>
          <w:bCs/>
        </w:rPr>
        <w:lastRenderedPageBreak/>
        <w:t>Caselet</w:t>
      </w:r>
      <w:proofErr w:type="spellEnd"/>
      <w:r w:rsidRPr="00076706">
        <w:rPr>
          <w:b/>
          <w:bCs/>
        </w:rPr>
        <w:t xml:space="preserve">: HDFC </w:t>
      </w:r>
      <w:proofErr w:type="spellStart"/>
      <w:r w:rsidRPr="00076706">
        <w:rPr>
          <w:b/>
          <w:bCs/>
        </w:rPr>
        <w:t>SecureBond</w:t>
      </w:r>
      <w:proofErr w:type="spellEnd"/>
    </w:p>
    <w:p w14:paraId="19CE7EA1" w14:textId="77777777" w:rsidR="00076706" w:rsidRPr="00076706" w:rsidRDefault="00076706" w:rsidP="00076706">
      <w:r w:rsidRPr="00076706">
        <w:t xml:space="preserve">HDFC </w:t>
      </w:r>
      <w:proofErr w:type="spellStart"/>
      <w:r w:rsidRPr="00076706">
        <w:t>SecureBond</w:t>
      </w:r>
      <w:proofErr w:type="spellEnd"/>
      <w:r w:rsidRPr="00076706">
        <w:t xml:space="preserve">, issued on </w:t>
      </w:r>
      <w:r w:rsidRPr="00076706">
        <w:rPr>
          <w:b/>
          <w:bCs/>
        </w:rPr>
        <w:t>August 10, 2024</w:t>
      </w:r>
      <w:r w:rsidRPr="00076706">
        <w:t xml:space="preserve">, provides a secure and long-term investment option. With a face value of ₹1,00,000 and a </w:t>
      </w:r>
      <w:r w:rsidRPr="00076706">
        <w:rPr>
          <w:b/>
          <w:bCs/>
        </w:rPr>
        <w:t>coupon rate of 5.75%</w:t>
      </w:r>
      <w:r w:rsidRPr="00076706">
        <w:t xml:space="preserve">, the bond pays quarterly coupons, ensuring steady income for investors. The bond has a remaining term of </w:t>
      </w:r>
      <w:r w:rsidRPr="00076706">
        <w:rPr>
          <w:b/>
          <w:bCs/>
        </w:rPr>
        <w:t>20.30 years</w:t>
      </w:r>
      <w:r w:rsidRPr="00076706">
        <w:t xml:space="preserve"> and is available at a discounted price of ₹97,500, reflecting a </w:t>
      </w:r>
      <w:r w:rsidRPr="00076706">
        <w:rPr>
          <w:b/>
          <w:bCs/>
        </w:rPr>
        <w:t>required return (yield) of 6.70%</w:t>
      </w:r>
      <w:r w:rsidRPr="00076706">
        <w:t xml:space="preserve">. The bond follows the </w:t>
      </w:r>
      <w:r w:rsidRPr="00076706">
        <w:rPr>
          <w:b/>
          <w:bCs/>
        </w:rPr>
        <w:t>Actual/Actual</w:t>
      </w:r>
      <w:r w:rsidRPr="00076706">
        <w:t xml:space="preserve"> day count convention to ensure precise interest calculations.</w:t>
      </w:r>
    </w:p>
    <w:p w14:paraId="21DCA7C1" w14:textId="77777777" w:rsidR="00076706" w:rsidRPr="00076706" w:rsidRDefault="00076706" w:rsidP="00076706">
      <w:pPr>
        <w:numPr>
          <w:ilvl w:val="0"/>
          <w:numId w:val="10"/>
        </w:numPr>
      </w:pPr>
      <w:r w:rsidRPr="00076706">
        <w:rPr>
          <w:b/>
          <w:bCs/>
        </w:rPr>
        <w:t>Question 1:</w:t>
      </w:r>
      <w:r w:rsidRPr="00076706">
        <w:t xml:space="preserve"> Compute the bond's maturity date using the settlement date and term.</w:t>
      </w:r>
    </w:p>
    <w:p w14:paraId="291C529C" w14:textId="77777777" w:rsidR="00076706" w:rsidRPr="00076706" w:rsidRDefault="00076706" w:rsidP="00076706">
      <w:pPr>
        <w:numPr>
          <w:ilvl w:val="0"/>
          <w:numId w:val="10"/>
        </w:numPr>
      </w:pPr>
      <w:r w:rsidRPr="00076706">
        <w:rPr>
          <w:b/>
          <w:bCs/>
        </w:rPr>
        <w:t>Question 2:</w:t>
      </w:r>
      <w:r w:rsidRPr="00076706">
        <w:t xml:space="preserve"> Calculate the theoretical value of the bond using the given details, including coupon rate, yield to maturity, frequency of payments, and face value.</w:t>
      </w:r>
    </w:p>
    <w:p w14:paraId="3E99E6B1" w14:textId="77777777" w:rsidR="00076706" w:rsidRPr="00076706" w:rsidRDefault="00000000" w:rsidP="00076706">
      <w:r>
        <w:pict w14:anchorId="4A010CCB">
          <v:rect id="_x0000_i1030" style="width:0;height:1.5pt" o:hralign="center" o:hrstd="t" o:hr="t" fillcolor="#a0a0a0" stroked="f"/>
        </w:pict>
      </w:r>
    </w:p>
    <w:p w14:paraId="03501A1A" w14:textId="77777777" w:rsidR="00DC6717" w:rsidRPr="00DC6717" w:rsidRDefault="00DC6717" w:rsidP="00DC6717">
      <w:pPr>
        <w:rPr>
          <w:b/>
          <w:bCs/>
        </w:rPr>
      </w:pPr>
      <w:proofErr w:type="spellStart"/>
      <w:r w:rsidRPr="00DC6717">
        <w:rPr>
          <w:b/>
          <w:bCs/>
        </w:rPr>
        <w:t>Caselet</w:t>
      </w:r>
      <w:proofErr w:type="spellEnd"/>
      <w:r w:rsidRPr="00DC6717">
        <w:rPr>
          <w:b/>
          <w:bCs/>
        </w:rPr>
        <w:t>: SBI Dynamic Bond</w:t>
      </w:r>
    </w:p>
    <w:p w14:paraId="3305FDBD" w14:textId="77777777" w:rsidR="00DC6717" w:rsidRPr="00DC6717" w:rsidRDefault="00DC6717" w:rsidP="00DC6717">
      <w:r w:rsidRPr="00DC6717">
        <w:t xml:space="preserve">SBI Dynamic Bond, issued on </w:t>
      </w:r>
      <w:r w:rsidRPr="00DC6717">
        <w:rPr>
          <w:b/>
          <w:bCs/>
        </w:rPr>
        <w:t>May 20, 2022</w:t>
      </w:r>
      <w:r w:rsidRPr="00DC6717">
        <w:t xml:space="preserve">, offers a medium-term investment opportunity with steady returns. With a face value of ₹10,000 and a </w:t>
      </w:r>
      <w:r w:rsidRPr="00DC6717">
        <w:rPr>
          <w:b/>
          <w:bCs/>
        </w:rPr>
        <w:t>coupon rate of 6.25%</w:t>
      </w:r>
      <w:r w:rsidRPr="00DC6717">
        <w:t xml:space="preserve">, the bond pays semi-annual coupons, providing consistent income to investors. The bond has a remaining term of </w:t>
      </w:r>
      <w:r w:rsidRPr="00DC6717">
        <w:rPr>
          <w:b/>
          <w:bCs/>
        </w:rPr>
        <w:t>7.60 years</w:t>
      </w:r>
      <w:r w:rsidRPr="00DC6717">
        <w:t xml:space="preserve"> and is available at a slightly discounted price of ₹9,875, reflecting a </w:t>
      </w:r>
      <w:r w:rsidRPr="00DC6717">
        <w:rPr>
          <w:b/>
          <w:bCs/>
        </w:rPr>
        <w:t>required return (yield) of 6.10%</w:t>
      </w:r>
      <w:r w:rsidRPr="00DC6717">
        <w:t xml:space="preserve">. The bond follows the </w:t>
      </w:r>
      <w:r w:rsidRPr="00DC6717">
        <w:rPr>
          <w:b/>
          <w:bCs/>
        </w:rPr>
        <w:t>Actual/Actual</w:t>
      </w:r>
      <w:r w:rsidRPr="00DC6717">
        <w:t xml:space="preserve"> day count convention for precise interest calculations.</w:t>
      </w:r>
    </w:p>
    <w:p w14:paraId="07E3FF2B" w14:textId="77777777" w:rsidR="00DC6717" w:rsidRPr="00DC6717" w:rsidRDefault="00DC6717" w:rsidP="00DC6717">
      <w:pPr>
        <w:numPr>
          <w:ilvl w:val="0"/>
          <w:numId w:val="13"/>
        </w:numPr>
      </w:pPr>
      <w:r w:rsidRPr="00DC6717">
        <w:rPr>
          <w:b/>
          <w:bCs/>
        </w:rPr>
        <w:t>Question 1:</w:t>
      </w:r>
      <w:r w:rsidRPr="00DC6717">
        <w:t xml:space="preserve"> Compute the bond's maturity date using the settlement date and term.</w:t>
      </w:r>
    </w:p>
    <w:p w14:paraId="50C0D9B4" w14:textId="77777777" w:rsidR="00DC6717" w:rsidRPr="00DC6717" w:rsidRDefault="00DC6717" w:rsidP="00DC6717">
      <w:pPr>
        <w:numPr>
          <w:ilvl w:val="0"/>
          <w:numId w:val="13"/>
        </w:numPr>
      </w:pPr>
      <w:r w:rsidRPr="00DC6717">
        <w:rPr>
          <w:b/>
          <w:bCs/>
        </w:rPr>
        <w:t>Question 2:</w:t>
      </w:r>
      <w:r w:rsidRPr="00DC6717">
        <w:t xml:space="preserve"> Calculate the theoretical value of the bond using the given details, including coupon rate, yield to maturity, frequency of payments, and face value.</w:t>
      </w:r>
    </w:p>
    <w:p w14:paraId="116CBA5E" w14:textId="77777777" w:rsidR="00DC6717" w:rsidRPr="00DC6717" w:rsidRDefault="00000000" w:rsidP="00DC6717">
      <w:r>
        <w:pict w14:anchorId="0C35B13F">
          <v:rect id="_x0000_i1032" style="width:0;height:1.5pt" o:hralign="center" o:hrstd="t" o:hr="t" fillcolor="#a0a0a0" stroked="f"/>
        </w:pict>
      </w:r>
    </w:p>
    <w:sectPr w:rsidR="00DC6717" w:rsidRPr="00DC671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41EE2" w14:textId="77777777" w:rsidR="002A2ACB" w:rsidRDefault="002A2ACB" w:rsidP="00B60618">
      <w:pPr>
        <w:spacing w:after="0" w:line="240" w:lineRule="auto"/>
      </w:pPr>
      <w:r>
        <w:separator/>
      </w:r>
    </w:p>
  </w:endnote>
  <w:endnote w:type="continuationSeparator" w:id="0">
    <w:p w14:paraId="1CF7E8A6" w14:textId="77777777" w:rsidR="002A2ACB" w:rsidRDefault="002A2ACB" w:rsidP="00B6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739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5B171" w14:textId="4FA9BEE9" w:rsidR="00B60618" w:rsidRDefault="00B606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7931D" w14:textId="77777777" w:rsidR="00B60618" w:rsidRDefault="00B60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01831" w14:textId="77777777" w:rsidR="002A2ACB" w:rsidRDefault="002A2ACB" w:rsidP="00B60618">
      <w:pPr>
        <w:spacing w:after="0" w:line="240" w:lineRule="auto"/>
      </w:pPr>
      <w:r>
        <w:separator/>
      </w:r>
    </w:p>
  </w:footnote>
  <w:footnote w:type="continuationSeparator" w:id="0">
    <w:p w14:paraId="2DDD53E1" w14:textId="77777777" w:rsidR="002A2ACB" w:rsidRDefault="002A2ACB" w:rsidP="00B6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339"/>
    <w:multiLevelType w:val="multilevel"/>
    <w:tmpl w:val="A77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2F9"/>
    <w:multiLevelType w:val="multilevel"/>
    <w:tmpl w:val="8FE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5A5F"/>
    <w:multiLevelType w:val="multilevel"/>
    <w:tmpl w:val="50FC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91935"/>
    <w:multiLevelType w:val="multilevel"/>
    <w:tmpl w:val="758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0749F"/>
    <w:multiLevelType w:val="multilevel"/>
    <w:tmpl w:val="85A2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461E0"/>
    <w:multiLevelType w:val="multilevel"/>
    <w:tmpl w:val="406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58A6"/>
    <w:multiLevelType w:val="multilevel"/>
    <w:tmpl w:val="1D6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E3E9B"/>
    <w:multiLevelType w:val="multilevel"/>
    <w:tmpl w:val="EB1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20389"/>
    <w:multiLevelType w:val="multilevel"/>
    <w:tmpl w:val="B23C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D5F26"/>
    <w:multiLevelType w:val="multilevel"/>
    <w:tmpl w:val="1EB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E16E9"/>
    <w:multiLevelType w:val="multilevel"/>
    <w:tmpl w:val="542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945E9"/>
    <w:multiLevelType w:val="multilevel"/>
    <w:tmpl w:val="60F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F6449"/>
    <w:multiLevelType w:val="multilevel"/>
    <w:tmpl w:val="39E6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1312D"/>
    <w:multiLevelType w:val="multilevel"/>
    <w:tmpl w:val="6C0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1065"/>
    <w:multiLevelType w:val="multilevel"/>
    <w:tmpl w:val="53C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D18EC"/>
    <w:multiLevelType w:val="multilevel"/>
    <w:tmpl w:val="84F6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3AED"/>
    <w:multiLevelType w:val="multilevel"/>
    <w:tmpl w:val="9A0C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8483D"/>
    <w:multiLevelType w:val="multilevel"/>
    <w:tmpl w:val="090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96569"/>
    <w:multiLevelType w:val="multilevel"/>
    <w:tmpl w:val="6A76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8F20BB"/>
    <w:multiLevelType w:val="multilevel"/>
    <w:tmpl w:val="AC76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417DE"/>
    <w:multiLevelType w:val="multilevel"/>
    <w:tmpl w:val="84E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051195"/>
    <w:multiLevelType w:val="multilevel"/>
    <w:tmpl w:val="74F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C6728"/>
    <w:multiLevelType w:val="multilevel"/>
    <w:tmpl w:val="555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13C6F"/>
    <w:multiLevelType w:val="multilevel"/>
    <w:tmpl w:val="671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65FD8"/>
    <w:multiLevelType w:val="multilevel"/>
    <w:tmpl w:val="55A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F3906"/>
    <w:multiLevelType w:val="multilevel"/>
    <w:tmpl w:val="A1D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23612"/>
    <w:multiLevelType w:val="multilevel"/>
    <w:tmpl w:val="28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8485B"/>
    <w:multiLevelType w:val="multilevel"/>
    <w:tmpl w:val="2A5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3454D"/>
    <w:multiLevelType w:val="multilevel"/>
    <w:tmpl w:val="CAF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C59E6"/>
    <w:multiLevelType w:val="multilevel"/>
    <w:tmpl w:val="06D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3550">
    <w:abstractNumId w:val="4"/>
  </w:num>
  <w:num w:numId="2" w16cid:durableId="1016275821">
    <w:abstractNumId w:val="7"/>
  </w:num>
  <w:num w:numId="3" w16cid:durableId="1271284255">
    <w:abstractNumId w:val="17"/>
  </w:num>
  <w:num w:numId="4" w16cid:durableId="92282901">
    <w:abstractNumId w:val="14"/>
  </w:num>
  <w:num w:numId="5" w16cid:durableId="1552307456">
    <w:abstractNumId w:val="26"/>
  </w:num>
  <w:num w:numId="6" w16cid:durableId="160394782">
    <w:abstractNumId w:val="6"/>
  </w:num>
  <w:num w:numId="7" w16cid:durableId="1758091954">
    <w:abstractNumId w:val="8"/>
  </w:num>
  <w:num w:numId="8" w16cid:durableId="476344146">
    <w:abstractNumId w:val="13"/>
  </w:num>
  <w:num w:numId="9" w16cid:durableId="1851067282">
    <w:abstractNumId w:val="29"/>
  </w:num>
  <w:num w:numId="10" w16cid:durableId="344744114">
    <w:abstractNumId w:val="12"/>
  </w:num>
  <w:num w:numId="11" w16cid:durableId="921597798">
    <w:abstractNumId w:val="23"/>
  </w:num>
  <w:num w:numId="12" w16cid:durableId="2095979580">
    <w:abstractNumId w:val="21"/>
  </w:num>
  <w:num w:numId="13" w16cid:durableId="2109233905">
    <w:abstractNumId w:val="25"/>
  </w:num>
  <w:num w:numId="14" w16cid:durableId="1837304276">
    <w:abstractNumId w:val="5"/>
  </w:num>
  <w:num w:numId="15" w16cid:durableId="1160078274">
    <w:abstractNumId w:val="16"/>
  </w:num>
  <w:num w:numId="16" w16cid:durableId="1120416228">
    <w:abstractNumId w:val="20"/>
  </w:num>
  <w:num w:numId="17" w16cid:durableId="1266420566">
    <w:abstractNumId w:val="15"/>
  </w:num>
  <w:num w:numId="18" w16cid:durableId="1044251358">
    <w:abstractNumId w:val="9"/>
  </w:num>
  <w:num w:numId="19" w16cid:durableId="1686780891">
    <w:abstractNumId w:val="27"/>
  </w:num>
  <w:num w:numId="20" w16cid:durableId="1937981666">
    <w:abstractNumId w:val="3"/>
  </w:num>
  <w:num w:numId="21" w16cid:durableId="151072520">
    <w:abstractNumId w:val="24"/>
  </w:num>
  <w:num w:numId="22" w16cid:durableId="1102335315">
    <w:abstractNumId w:val="19"/>
  </w:num>
  <w:num w:numId="23" w16cid:durableId="509106362">
    <w:abstractNumId w:val="10"/>
  </w:num>
  <w:num w:numId="24" w16cid:durableId="1843205932">
    <w:abstractNumId w:val="11"/>
  </w:num>
  <w:num w:numId="25" w16cid:durableId="2022318525">
    <w:abstractNumId w:val="18"/>
  </w:num>
  <w:num w:numId="26" w16cid:durableId="1467239805">
    <w:abstractNumId w:val="2"/>
  </w:num>
  <w:num w:numId="27" w16cid:durableId="688871223">
    <w:abstractNumId w:val="1"/>
  </w:num>
  <w:num w:numId="28" w16cid:durableId="1312978453">
    <w:abstractNumId w:val="0"/>
  </w:num>
  <w:num w:numId="29" w16cid:durableId="88820063">
    <w:abstractNumId w:val="22"/>
  </w:num>
  <w:num w:numId="30" w16cid:durableId="20746221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2"/>
    <w:rsid w:val="000100BE"/>
    <w:rsid w:val="00076706"/>
    <w:rsid w:val="0012290B"/>
    <w:rsid w:val="001D3683"/>
    <w:rsid w:val="002A2ACB"/>
    <w:rsid w:val="00326284"/>
    <w:rsid w:val="00334D60"/>
    <w:rsid w:val="00506D09"/>
    <w:rsid w:val="00520DF0"/>
    <w:rsid w:val="00525ECF"/>
    <w:rsid w:val="00527CDD"/>
    <w:rsid w:val="00532AF5"/>
    <w:rsid w:val="00555D91"/>
    <w:rsid w:val="006D25F1"/>
    <w:rsid w:val="0072262F"/>
    <w:rsid w:val="007A01B2"/>
    <w:rsid w:val="008C5DDF"/>
    <w:rsid w:val="00A92EDB"/>
    <w:rsid w:val="00B453ED"/>
    <w:rsid w:val="00B60618"/>
    <w:rsid w:val="00B93588"/>
    <w:rsid w:val="00C00219"/>
    <w:rsid w:val="00C9273F"/>
    <w:rsid w:val="00C95569"/>
    <w:rsid w:val="00CE60E8"/>
    <w:rsid w:val="00D50B31"/>
    <w:rsid w:val="00D9384D"/>
    <w:rsid w:val="00DC6717"/>
    <w:rsid w:val="00E306E9"/>
    <w:rsid w:val="00F4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48425"/>
  <w15:chartTrackingRefBased/>
  <w15:docId w15:val="{9E178236-2EFF-4251-815C-2CC1BF2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18"/>
  </w:style>
  <w:style w:type="paragraph" w:styleId="Footer">
    <w:name w:val="footer"/>
    <w:basedOn w:val="Normal"/>
    <w:link w:val="FooterChar"/>
    <w:uiPriority w:val="99"/>
    <w:unhideWhenUsed/>
    <w:rsid w:val="00B60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3324</Characters>
  <Application>Microsoft Office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4</cp:revision>
  <dcterms:created xsi:type="dcterms:W3CDTF">2024-12-14T06:40:00Z</dcterms:created>
  <dcterms:modified xsi:type="dcterms:W3CDTF">2024-12-14T06:41:00Z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400ec58b-3de6-4319-a3c7-8f7001ddb221</vt:lpwstr>
  </property>
</Properties>
</file>