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07F2" w14:textId="357350E1" w:rsidR="001E7691" w:rsidRDefault="00711A86">
      <w:r w:rsidRPr="00711A86">
        <w:t>Industry-Based Relative Valuation Problems</w:t>
      </w:r>
    </w:p>
    <w:p w14:paraId="683EF5BB" w14:textId="77777777" w:rsidR="00711A86" w:rsidRPr="00711A86" w:rsidRDefault="00711A86" w:rsidP="00711A86">
      <w:pPr>
        <w:rPr>
          <w:b/>
          <w:bCs/>
        </w:rPr>
      </w:pPr>
      <w:r w:rsidRPr="00711A86">
        <w:rPr>
          <w:b/>
          <w:bCs/>
        </w:rPr>
        <w:t>Problem 1: FMCG – Packaged Food Industry</w:t>
      </w:r>
    </w:p>
    <w:p w14:paraId="5265FB12" w14:textId="77777777" w:rsidR="00711A86" w:rsidRPr="00711A86" w:rsidRDefault="00711A86" w:rsidP="00711A86">
      <w:r w:rsidRPr="00711A86">
        <w:t xml:space="preserve">A private equity fund is evaluating the acquisition of a </w:t>
      </w:r>
      <w:r w:rsidRPr="00711A86">
        <w:rPr>
          <w:b/>
          <w:bCs/>
        </w:rPr>
        <w:t>mid-sized packaged food manufacturing company</w:t>
      </w:r>
      <w:r w:rsidRPr="00711A86">
        <w:t xml:space="preserve"> operating in the Indian FMCG sector. The company produces branded ready-to-eat and snack food products and benefits from stable consumer demand, wide distribution networks, and moderate pricing power. FMCG companies are typically valued using </w:t>
      </w:r>
      <w:r w:rsidRPr="00711A86">
        <w:rPr>
          <w:b/>
          <w:bCs/>
        </w:rPr>
        <w:t>EBITDA multiples</w:t>
      </w:r>
      <w:r w:rsidRPr="00711A86">
        <w:t>, given their predictable cash flows and relatively low business risk.</w:t>
      </w:r>
    </w:p>
    <w:p w14:paraId="2D5DD036" w14:textId="77777777" w:rsidR="00711A86" w:rsidRPr="00711A86" w:rsidRDefault="00711A86" w:rsidP="00711A86">
      <w:r w:rsidRPr="00711A86">
        <w:t xml:space="preserve">The target company reported </w:t>
      </w:r>
      <w:r w:rsidRPr="00711A86">
        <w:rPr>
          <w:b/>
          <w:bCs/>
        </w:rPr>
        <w:t>LTM sales of ₹6,500,000</w:t>
      </w:r>
      <w:r w:rsidRPr="00711A86">
        <w:t xml:space="preserve">, with an </w:t>
      </w:r>
      <w:r w:rsidRPr="00711A86">
        <w:rPr>
          <w:b/>
          <w:bCs/>
        </w:rPr>
        <w:t>EBITDA margin of 22%</w:t>
      </w:r>
      <w:r w:rsidRPr="00711A86">
        <w:t xml:space="preserve">. Based on comparable FMCG firms, the fund believes an </w:t>
      </w:r>
      <w:r w:rsidRPr="00711A86">
        <w:rPr>
          <w:b/>
          <w:bCs/>
        </w:rPr>
        <w:t>entry EBITDA multiple of 8.0×</w:t>
      </w:r>
      <w:r w:rsidRPr="00711A86">
        <w:t xml:space="preserve"> is appropriate. Sales are expected to grow at </w:t>
      </w:r>
      <w:r w:rsidRPr="00711A86">
        <w:rPr>
          <w:b/>
          <w:bCs/>
        </w:rPr>
        <w:t>10% per annum</w:t>
      </w:r>
      <w:r w:rsidRPr="00711A86">
        <w:t xml:space="preserve"> over the next five years, while the EBITDA margin is projected to stabilize at </w:t>
      </w:r>
      <w:r w:rsidRPr="00711A86">
        <w:rPr>
          <w:b/>
          <w:bCs/>
        </w:rPr>
        <w:t>24%</w:t>
      </w:r>
      <w:r w:rsidRPr="00711A86">
        <w:t xml:space="preserve">. The corporate tax rate is </w:t>
      </w:r>
      <w:r w:rsidRPr="00711A86">
        <w:rPr>
          <w:b/>
          <w:bCs/>
        </w:rPr>
        <w:t>25%</w:t>
      </w:r>
      <w:r w:rsidRPr="00711A86">
        <w:t xml:space="preserve">. The acquisition will be financed with </w:t>
      </w:r>
      <w:r w:rsidRPr="00711A86">
        <w:rPr>
          <w:b/>
          <w:bCs/>
        </w:rPr>
        <w:t>30% debt</w:t>
      </w:r>
      <w:r w:rsidRPr="00711A86">
        <w:t xml:space="preserve">, carrying an annual interest rate of </w:t>
      </w:r>
      <w:r w:rsidRPr="00711A86">
        <w:rPr>
          <w:b/>
          <w:bCs/>
        </w:rPr>
        <w:t>10%</w:t>
      </w:r>
      <w:r w:rsidRPr="00711A86">
        <w:t>.</w:t>
      </w:r>
    </w:p>
    <w:p w14:paraId="030965F6" w14:textId="3F60195D" w:rsidR="00711A86" w:rsidRPr="00711A86" w:rsidRDefault="00711A86" w:rsidP="00711A86">
      <w:r w:rsidRPr="00711A86">
        <w:t xml:space="preserve">For capital assumptions, depreciation is estimated at </w:t>
      </w:r>
      <w:r w:rsidRPr="00711A86">
        <w:rPr>
          <w:b/>
          <w:bCs/>
        </w:rPr>
        <w:t>6% of sales</w:t>
      </w:r>
      <w:r w:rsidRPr="00711A86">
        <w:t xml:space="preserve">, capital expenditure at </w:t>
      </w:r>
      <w:r w:rsidRPr="00711A86">
        <w:rPr>
          <w:b/>
          <w:bCs/>
        </w:rPr>
        <w:t>7% of sales</w:t>
      </w:r>
      <w:r w:rsidRPr="00711A86">
        <w:t xml:space="preserve">, and net working capital investment at </w:t>
      </w:r>
      <w:r w:rsidRPr="00711A86">
        <w:rPr>
          <w:b/>
          <w:bCs/>
        </w:rPr>
        <w:t>8% of incremental sales</w:t>
      </w:r>
      <w:r w:rsidRPr="00711A86">
        <w:t xml:space="preserve">. At </w:t>
      </w:r>
      <w:r w:rsidR="00EB3B57">
        <w:t>the exit (end of year 5), the company is expected to be sold at an exit EBITDA multiple of 9.0 times</w:t>
      </w:r>
      <w:r w:rsidRPr="00711A86">
        <w:t>.</w:t>
      </w:r>
    </w:p>
    <w:p w14:paraId="1A9946A4" w14:textId="77777777" w:rsidR="00711A86" w:rsidRPr="00711A86" w:rsidRDefault="00711A86" w:rsidP="00711A86">
      <w:r w:rsidRPr="00711A86">
        <w:rPr>
          <w:b/>
          <w:bCs/>
        </w:rPr>
        <w:t>Required:</w:t>
      </w:r>
      <w:r w:rsidRPr="00711A86">
        <w:br/>
        <w:t>Using the model template logic,</w:t>
      </w:r>
    </w:p>
    <w:p w14:paraId="0537C4DF" w14:textId="77777777" w:rsidR="00711A86" w:rsidRPr="00711A86" w:rsidRDefault="00711A86" w:rsidP="00711A86">
      <w:pPr>
        <w:numPr>
          <w:ilvl w:val="0"/>
          <w:numId w:val="1"/>
        </w:numPr>
      </w:pPr>
      <w:r w:rsidRPr="00711A86">
        <w:t xml:space="preserve">Estimate the </w:t>
      </w:r>
      <w:r w:rsidRPr="00711A86">
        <w:rPr>
          <w:b/>
          <w:bCs/>
        </w:rPr>
        <w:t>entry enterprise value and equity investment</w:t>
      </w:r>
      <w:r w:rsidRPr="00711A86">
        <w:t>.</w:t>
      </w:r>
    </w:p>
    <w:p w14:paraId="47884779" w14:textId="77777777" w:rsidR="00711A86" w:rsidRPr="00711A86" w:rsidRDefault="00711A86" w:rsidP="00711A86">
      <w:pPr>
        <w:numPr>
          <w:ilvl w:val="0"/>
          <w:numId w:val="1"/>
        </w:numPr>
      </w:pPr>
      <w:r w:rsidRPr="00711A86">
        <w:t xml:space="preserve">Prepare the </w:t>
      </w:r>
      <w:r w:rsidRPr="00711A86">
        <w:rPr>
          <w:b/>
          <w:bCs/>
        </w:rPr>
        <w:t>five-year projected income statement</w:t>
      </w:r>
      <w:r w:rsidRPr="00711A86">
        <w:t>.</w:t>
      </w:r>
    </w:p>
    <w:p w14:paraId="522ACA18" w14:textId="77777777" w:rsidR="00711A86" w:rsidRPr="00711A86" w:rsidRDefault="00711A86" w:rsidP="00711A86">
      <w:pPr>
        <w:numPr>
          <w:ilvl w:val="0"/>
          <w:numId w:val="1"/>
        </w:numPr>
      </w:pPr>
      <w:r w:rsidRPr="00711A86">
        <w:t xml:space="preserve">Prepare the </w:t>
      </w:r>
      <w:r w:rsidRPr="00711A86">
        <w:rPr>
          <w:b/>
          <w:bCs/>
        </w:rPr>
        <w:t>five-year cash flow statement and cumulative free cash flow</w:t>
      </w:r>
      <w:r w:rsidRPr="00711A86">
        <w:t>.</w:t>
      </w:r>
    </w:p>
    <w:p w14:paraId="4E97CC17" w14:textId="77777777" w:rsidR="00711A86" w:rsidRPr="00711A86" w:rsidRDefault="00711A86" w:rsidP="00711A86">
      <w:pPr>
        <w:numPr>
          <w:ilvl w:val="0"/>
          <w:numId w:val="1"/>
        </w:numPr>
      </w:pPr>
      <w:r w:rsidRPr="00711A86">
        <w:t xml:space="preserve">Estimate the </w:t>
      </w:r>
      <w:r w:rsidRPr="00711A86">
        <w:rPr>
          <w:b/>
          <w:bCs/>
        </w:rPr>
        <w:t>exit enterprise value, exit equity value</w:t>
      </w:r>
      <w:r w:rsidRPr="00711A86">
        <w:t xml:space="preserve">, and </w:t>
      </w:r>
      <w:r w:rsidRPr="00711A86">
        <w:rPr>
          <w:b/>
          <w:bCs/>
        </w:rPr>
        <w:t>IRR to equity investors</w:t>
      </w:r>
      <w:r w:rsidRPr="00711A86">
        <w:t>.</w:t>
      </w:r>
    </w:p>
    <w:p w14:paraId="307D723C" w14:textId="77777777" w:rsidR="00711A86" w:rsidRPr="00711A86" w:rsidRDefault="00711A86" w:rsidP="00711A86">
      <w:r w:rsidRPr="00711A86">
        <w:pict w14:anchorId="25865155">
          <v:rect id="_x0000_i1055" style="width:0;height:1.5pt" o:hralign="center" o:hrstd="t" o:hr="t" fillcolor="#a0a0a0" stroked="f"/>
        </w:pict>
      </w:r>
    </w:p>
    <w:p w14:paraId="57944681" w14:textId="77777777" w:rsidR="00711A86" w:rsidRPr="00711A86" w:rsidRDefault="00711A86" w:rsidP="00711A86">
      <w:pPr>
        <w:rPr>
          <w:b/>
          <w:bCs/>
        </w:rPr>
      </w:pPr>
      <w:r w:rsidRPr="00711A86">
        <w:rPr>
          <w:b/>
          <w:bCs/>
        </w:rPr>
        <w:t>Problem 2: IT Services – Mid-Tier Software Services Firm</w:t>
      </w:r>
    </w:p>
    <w:p w14:paraId="6E61B37A" w14:textId="77777777" w:rsidR="00711A86" w:rsidRPr="00711A86" w:rsidRDefault="00711A86" w:rsidP="00711A86">
      <w:r w:rsidRPr="00711A86">
        <w:t xml:space="preserve">A PE investor is </w:t>
      </w:r>
      <w:proofErr w:type="spellStart"/>
      <w:r w:rsidRPr="00711A86">
        <w:t>analyzing</w:t>
      </w:r>
      <w:proofErr w:type="spellEnd"/>
      <w:r w:rsidRPr="00711A86">
        <w:t xml:space="preserve"> a buyout opportunity in a </w:t>
      </w:r>
      <w:r w:rsidRPr="00711A86">
        <w:rPr>
          <w:b/>
          <w:bCs/>
        </w:rPr>
        <w:t>mid-tier IT services company</w:t>
      </w:r>
      <w:r w:rsidRPr="00711A86">
        <w:t xml:space="preserve"> providing application development and maintenance services to global clients. The industry is characterized by </w:t>
      </w:r>
      <w:r w:rsidRPr="00711A86">
        <w:rPr>
          <w:b/>
          <w:bCs/>
        </w:rPr>
        <w:t>high operating margins, low capital intensity</w:t>
      </w:r>
      <w:r w:rsidRPr="00711A86">
        <w:t xml:space="preserve">, and strong dependence on revenue growth. Valuation in this sector is primarily driven by </w:t>
      </w:r>
      <w:r w:rsidRPr="00711A86">
        <w:rPr>
          <w:b/>
          <w:bCs/>
        </w:rPr>
        <w:t>EBITDA multiples and growth expectations</w:t>
      </w:r>
      <w:r w:rsidRPr="00711A86">
        <w:t>.</w:t>
      </w:r>
    </w:p>
    <w:p w14:paraId="352F4FC0" w14:textId="77777777" w:rsidR="00711A86" w:rsidRPr="00711A86" w:rsidRDefault="00711A86" w:rsidP="00711A86">
      <w:r w:rsidRPr="00711A86">
        <w:t xml:space="preserve">The company has reported </w:t>
      </w:r>
      <w:r w:rsidRPr="00711A86">
        <w:rPr>
          <w:b/>
          <w:bCs/>
        </w:rPr>
        <w:t>LTM sales of ₹12,000,000</w:t>
      </w:r>
      <w:r w:rsidRPr="00711A86">
        <w:t xml:space="preserve">, with an </w:t>
      </w:r>
      <w:r w:rsidRPr="00711A86">
        <w:rPr>
          <w:b/>
          <w:bCs/>
        </w:rPr>
        <w:t>EBITDA margin of 32%</w:t>
      </w:r>
      <w:r w:rsidRPr="00711A86">
        <w:t xml:space="preserve">. Comparable listed firms suggest an </w:t>
      </w:r>
      <w:r w:rsidRPr="00711A86">
        <w:rPr>
          <w:b/>
          <w:bCs/>
        </w:rPr>
        <w:t>entry EBITDA multiple of 10.0×</w:t>
      </w:r>
      <w:r w:rsidRPr="00711A86">
        <w:t xml:space="preserve">. Revenue is expected to grow at </w:t>
      </w:r>
      <w:r w:rsidRPr="00711A86">
        <w:rPr>
          <w:b/>
          <w:bCs/>
        </w:rPr>
        <w:t>14% annually</w:t>
      </w:r>
      <w:r w:rsidRPr="00711A86">
        <w:t xml:space="preserve"> over the next five years, with EBITDA margins </w:t>
      </w:r>
      <w:r w:rsidRPr="00711A86">
        <w:lastRenderedPageBreak/>
        <w:t xml:space="preserve">improving to </w:t>
      </w:r>
      <w:r w:rsidRPr="00711A86">
        <w:rPr>
          <w:b/>
          <w:bCs/>
        </w:rPr>
        <w:t>35%</w:t>
      </w:r>
      <w:r w:rsidRPr="00711A86">
        <w:t xml:space="preserve">. The applicable corporate tax rate is </w:t>
      </w:r>
      <w:r w:rsidRPr="00711A86">
        <w:rPr>
          <w:b/>
          <w:bCs/>
        </w:rPr>
        <w:t>22%</w:t>
      </w:r>
      <w:r w:rsidRPr="00711A86">
        <w:t xml:space="preserve">. The acquisition will be financed with </w:t>
      </w:r>
      <w:r w:rsidRPr="00711A86">
        <w:rPr>
          <w:b/>
          <w:bCs/>
        </w:rPr>
        <w:t>20% debt</w:t>
      </w:r>
      <w:r w:rsidRPr="00711A86">
        <w:t xml:space="preserve">, at an interest rate of </w:t>
      </w:r>
      <w:r w:rsidRPr="00711A86">
        <w:rPr>
          <w:b/>
          <w:bCs/>
        </w:rPr>
        <w:t>9%</w:t>
      </w:r>
      <w:r w:rsidRPr="00711A86">
        <w:t>.</w:t>
      </w:r>
    </w:p>
    <w:p w14:paraId="7313391C" w14:textId="77777777" w:rsidR="00711A86" w:rsidRPr="00711A86" w:rsidRDefault="00711A86" w:rsidP="00711A86">
      <w:r w:rsidRPr="00711A86">
        <w:t xml:space="preserve">Depreciation is expected to be </w:t>
      </w:r>
      <w:r w:rsidRPr="00711A86">
        <w:rPr>
          <w:b/>
          <w:bCs/>
        </w:rPr>
        <w:t>4% of sales</w:t>
      </w:r>
      <w:r w:rsidRPr="00711A86">
        <w:t xml:space="preserve">, capital expenditure at </w:t>
      </w:r>
      <w:r w:rsidRPr="00711A86">
        <w:rPr>
          <w:b/>
          <w:bCs/>
        </w:rPr>
        <w:t>5% of sales</w:t>
      </w:r>
      <w:r w:rsidRPr="00711A86">
        <w:t xml:space="preserve">, and net working capital investment at </w:t>
      </w:r>
      <w:r w:rsidRPr="00711A86">
        <w:rPr>
          <w:b/>
          <w:bCs/>
        </w:rPr>
        <w:t>6% of sales</w:t>
      </w:r>
      <w:r w:rsidRPr="00711A86">
        <w:t xml:space="preserve">. The exit multiple is assumed to be </w:t>
      </w:r>
      <w:r w:rsidRPr="00711A86">
        <w:rPr>
          <w:b/>
          <w:bCs/>
        </w:rPr>
        <w:t>11.0× EBITDA</w:t>
      </w:r>
      <w:r w:rsidRPr="00711A86">
        <w:t xml:space="preserve"> at the end of year five.</w:t>
      </w:r>
    </w:p>
    <w:p w14:paraId="4382E880" w14:textId="77777777" w:rsidR="00711A86" w:rsidRPr="00711A86" w:rsidRDefault="00711A86" w:rsidP="00711A86">
      <w:r w:rsidRPr="00711A86">
        <w:rPr>
          <w:b/>
          <w:bCs/>
        </w:rPr>
        <w:t>Required:</w:t>
      </w:r>
      <w:r w:rsidRPr="00711A86">
        <w:br/>
        <w:t>Apply the given model structure to calculate:</w:t>
      </w:r>
    </w:p>
    <w:p w14:paraId="101E3DC3" w14:textId="77777777" w:rsidR="00711A86" w:rsidRPr="00711A86" w:rsidRDefault="00711A86" w:rsidP="00711A86">
      <w:pPr>
        <w:numPr>
          <w:ilvl w:val="0"/>
          <w:numId w:val="2"/>
        </w:numPr>
      </w:pPr>
      <w:r w:rsidRPr="00711A86">
        <w:t>Entry EV, debt, and equity contribution.</w:t>
      </w:r>
    </w:p>
    <w:p w14:paraId="73340B59" w14:textId="77777777" w:rsidR="00711A86" w:rsidRPr="00711A86" w:rsidRDefault="00711A86" w:rsidP="00711A86">
      <w:pPr>
        <w:numPr>
          <w:ilvl w:val="0"/>
          <w:numId w:val="2"/>
        </w:numPr>
      </w:pPr>
      <w:r w:rsidRPr="00711A86">
        <w:t>Five-year income statement projections.</w:t>
      </w:r>
    </w:p>
    <w:p w14:paraId="2EA4474D" w14:textId="77777777" w:rsidR="00711A86" w:rsidRPr="00711A86" w:rsidRDefault="00711A86" w:rsidP="00711A86">
      <w:pPr>
        <w:numPr>
          <w:ilvl w:val="0"/>
          <w:numId w:val="2"/>
        </w:numPr>
      </w:pPr>
      <w:r w:rsidRPr="00711A86">
        <w:t>Free cash flows and cumulative cash flows.</w:t>
      </w:r>
    </w:p>
    <w:p w14:paraId="6F501316" w14:textId="77777777" w:rsidR="00711A86" w:rsidRPr="00711A86" w:rsidRDefault="00711A86" w:rsidP="00711A86">
      <w:pPr>
        <w:numPr>
          <w:ilvl w:val="0"/>
          <w:numId w:val="2"/>
        </w:numPr>
      </w:pPr>
      <w:r w:rsidRPr="00711A86">
        <w:t xml:space="preserve">Exit equity value and </w:t>
      </w:r>
      <w:r w:rsidRPr="00711A86">
        <w:rPr>
          <w:b/>
          <w:bCs/>
        </w:rPr>
        <w:t>IRR</w:t>
      </w:r>
      <w:r w:rsidRPr="00711A86">
        <w:t>.</w:t>
      </w:r>
    </w:p>
    <w:p w14:paraId="6DF92315" w14:textId="77777777" w:rsidR="00711A86" w:rsidRPr="00711A86" w:rsidRDefault="00711A86" w:rsidP="00711A86">
      <w:r w:rsidRPr="00711A86">
        <w:pict w14:anchorId="2CEAF987">
          <v:rect id="_x0000_i1056" style="width:0;height:1.5pt" o:hralign="center" o:hrstd="t" o:hr="t" fillcolor="#a0a0a0" stroked="f"/>
        </w:pict>
      </w:r>
    </w:p>
    <w:p w14:paraId="09C3D2A5" w14:textId="77777777" w:rsidR="00711A86" w:rsidRPr="00711A86" w:rsidRDefault="00711A86" w:rsidP="00711A86">
      <w:pPr>
        <w:rPr>
          <w:b/>
          <w:bCs/>
        </w:rPr>
      </w:pPr>
      <w:r w:rsidRPr="00711A86">
        <w:rPr>
          <w:b/>
          <w:bCs/>
        </w:rPr>
        <w:t>Problem 3: Pharmaceuticals – Generic Drug Manufacturer</w:t>
      </w:r>
    </w:p>
    <w:p w14:paraId="3874BAB7" w14:textId="77777777" w:rsidR="00711A86" w:rsidRPr="00711A86" w:rsidRDefault="00711A86" w:rsidP="00711A86">
      <w:r w:rsidRPr="00711A86">
        <w:t xml:space="preserve">A private equity fund is considering the acquisition of a </w:t>
      </w:r>
      <w:r w:rsidRPr="00711A86">
        <w:rPr>
          <w:b/>
          <w:bCs/>
        </w:rPr>
        <w:t>generic pharmaceutical manufacturer</w:t>
      </w:r>
      <w:r w:rsidRPr="00711A86">
        <w:t xml:space="preserve"> supplying domestic and export markets. The industry is characterized by </w:t>
      </w:r>
      <w:r w:rsidRPr="00711A86">
        <w:rPr>
          <w:b/>
          <w:bCs/>
        </w:rPr>
        <w:t>regulatory compliance, moderate growth, and relatively high margins</w:t>
      </w:r>
      <w:r w:rsidRPr="00711A86">
        <w:t>, but also sustained capital expenditure requirements.</w:t>
      </w:r>
    </w:p>
    <w:p w14:paraId="712BCFDA" w14:textId="77777777" w:rsidR="00711A86" w:rsidRPr="00711A86" w:rsidRDefault="00711A86" w:rsidP="00711A86">
      <w:r w:rsidRPr="00711A86">
        <w:t xml:space="preserve">The target company has </w:t>
      </w:r>
      <w:r w:rsidRPr="00711A86">
        <w:rPr>
          <w:b/>
          <w:bCs/>
        </w:rPr>
        <w:t>LTM sales of ₹9,000,000</w:t>
      </w:r>
      <w:r w:rsidRPr="00711A86">
        <w:t xml:space="preserve"> and an </w:t>
      </w:r>
      <w:r w:rsidRPr="00711A86">
        <w:rPr>
          <w:b/>
          <w:bCs/>
        </w:rPr>
        <w:t>EBITDA margin of 28%</w:t>
      </w:r>
      <w:r w:rsidRPr="00711A86">
        <w:t xml:space="preserve">. Based on peer valuations, an </w:t>
      </w:r>
      <w:r w:rsidRPr="00711A86">
        <w:rPr>
          <w:b/>
          <w:bCs/>
        </w:rPr>
        <w:t>entry EBITDA multiple of 7.5×</w:t>
      </w:r>
      <w:r w:rsidRPr="00711A86">
        <w:t xml:space="preserve"> is considered reasonable. Sales are projected to grow at </w:t>
      </w:r>
      <w:r w:rsidRPr="00711A86">
        <w:rPr>
          <w:b/>
          <w:bCs/>
        </w:rPr>
        <w:t>9% per year</w:t>
      </w:r>
      <w:r w:rsidRPr="00711A86">
        <w:t xml:space="preserve">, with EBITDA margins stabilizing at </w:t>
      </w:r>
      <w:r w:rsidRPr="00711A86">
        <w:rPr>
          <w:b/>
          <w:bCs/>
        </w:rPr>
        <w:t>30%</w:t>
      </w:r>
      <w:r w:rsidRPr="00711A86">
        <w:t xml:space="preserve">. The corporate tax rate is </w:t>
      </w:r>
      <w:r w:rsidRPr="00711A86">
        <w:rPr>
          <w:b/>
          <w:bCs/>
        </w:rPr>
        <w:t>25%</w:t>
      </w:r>
      <w:r w:rsidRPr="00711A86">
        <w:t xml:space="preserve">. The transaction will be financed using </w:t>
      </w:r>
      <w:r w:rsidRPr="00711A86">
        <w:rPr>
          <w:b/>
          <w:bCs/>
        </w:rPr>
        <w:t>35% debt</w:t>
      </w:r>
      <w:r w:rsidRPr="00711A86">
        <w:t xml:space="preserve">, with an interest rate of </w:t>
      </w:r>
      <w:r w:rsidRPr="00711A86">
        <w:rPr>
          <w:b/>
          <w:bCs/>
        </w:rPr>
        <w:t>11%</w:t>
      </w:r>
      <w:r w:rsidRPr="00711A86">
        <w:t>.</w:t>
      </w:r>
    </w:p>
    <w:p w14:paraId="38D1C213" w14:textId="77777777" w:rsidR="00711A86" w:rsidRPr="00711A86" w:rsidRDefault="00711A86" w:rsidP="00711A86">
      <w:r w:rsidRPr="00711A86">
        <w:t xml:space="preserve">Depreciation is estimated at </w:t>
      </w:r>
      <w:r w:rsidRPr="00711A86">
        <w:rPr>
          <w:b/>
          <w:bCs/>
        </w:rPr>
        <w:t>8% of sales</w:t>
      </w:r>
      <w:r w:rsidRPr="00711A86">
        <w:t xml:space="preserve">, capital expenditure at </w:t>
      </w:r>
      <w:r w:rsidRPr="00711A86">
        <w:rPr>
          <w:b/>
          <w:bCs/>
        </w:rPr>
        <w:t>10% of sales</w:t>
      </w:r>
      <w:r w:rsidRPr="00711A86">
        <w:t xml:space="preserve">, and net working capital investment at </w:t>
      </w:r>
      <w:r w:rsidRPr="00711A86">
        <w:rPr>
          <w:b/>
          <w:bCs/>
        </w:rPr>
        <w:t>12% of sales</w:t>
      </w:r>
      <w:r w:rsidRPr="00711A86">
        <w:t xml:space="preserve">. The fund expects to exit after five years at an </w:t>
      </w:r>
      <w:r w:rsidRPr="00711A86">
        <w:rPr>
          <w:b/>
          <w:bCs/>
        </w:rPr>
        <w:t>EBITDA multiple of 8.5×</w:t>
      </w:r>
      <w:r w:rsidRPr="00711A86">
        <w:t>.</w:t>
      </w:r>
    </w:p>
    <w:p w14:paraId="620F31AF" w14:textId="77777777" w:rsidR="00711A86" w:rsidRPr="00711A86" w:rsidRDefault="00711A86" w:rsidP="00711A86">
      <w:r w:rsidRPr="00711A86">
        <w:rPr>
          <w:b/>
          <w:bCs/>
        </w:rPr>
        <w:t>Required:</w:t>
      </w:r>
      <w:r w:rsidRPr="00711A86">
        <w:br/>
        <w:t>Using the LBO template,</w:t>
      </w:r>
    </w:p>
    <w:p w14:paraId="7BF1FE28" w14:textId="77777777" w:rsidR="00711A86" w:rsidRPr="00711A86" w:rsidRDefault="00711A86" w:rsidP="00711A86">
      <w:pPr>
        <w:numPr>
          <w:ilvl w:val="0"/>
          <w:numId w:val="3"/>
        </w:numPr>
      </w:pPr>
      <w:r w:rsidRPr="00711A86">
        <w:t>Compute the entry valuation and financing structure.</w:t>
      </w:r>
    </w:p>
    <w:p w14:paraId="0DB040D7" w14:textId="77777777" w:rsidR="00711A86" w:rsidRPr="00711A86" w:rsidRDefault="00711A86" w:rsidP="00711A86">
      <w:pPr>
        <w:numPr>
          <w:ilvl w:val="0"/>
          <w:numId w:val="3"/>
        </w:numPr>
      </w:pPr>
      <w:r w:rsidRPr="00711A86">
        <w:t>Prepare projected income and cash flow statements.</w:t>
      </w:r>
    </w:p>
    <w:p w14:paraId="3DB438C5" w14:textId="77777777" w:rsidR="00711A86" w:rsidRPr="00711A86" w:rsidRDefault="00711A86" w:rsidP="00711A86">
      <w:pPr>
        <w:numPr>
          <w:ilvl w:val="0"/>
          <w:numId w:val="3"/>
        </w:numPr>
      </w:pPr>
      <w:r w:rsidRPr="00711A86">
        <w:t>Estimate cumulative free cash flows.</w:t>
      </w:r>
    </w:p>
    <w:p w14:paraId="45F2AE0A" w14:textId="77777777" w:rsidR="00711A86" w:rsidRPr="00711A86" w:rsidRDefault="00711A86" w:rsidP="00711A86">
      <w:pPr>
        <w:numPr>
          <w:ilvl w:val="0"/>
          <w:numId w:val="3"/>
        </w:numPr>
      </w:pPr>
      <w:r w:rsidRPr="00711A86">
        <w:t>Compute exit valuation and investor IRR.</w:t>
      </w:r>
    </w:p>
    <w:p w14:paraId="0A0B929F" w14:textId="77777777" w:rsidR="00711A86" w:rsidRPr="00711A86" w:rsidRDefault="00711A86" w:rsidP="00711A86">
      <w:r w:rsidRPr="00711A86">
        <w:pict w14:anchorId="4D738D1A">
          <v:rect id="_x0000_i1057" style="width:0;height:1.5pt" o:hralign="center" o:hrstd="t" o:hr="t" fillcolor="#a0a0a0" stroked="f"/>
        </w:pict>
      </w:r>
    </w:p>
    <w:p w14:paraId="7904A132" w14:textId="77777777" w:rsidR="00711A86" w:rsidRPr="00711A86" w:rsidRDefault="00711A86" w:rsidP="00711A86">
      <w:pPr>
        <w:rPr>
          <w:b/>
          <w:bCs/>
        </w:rPr>
      </w:pPr>
      <w:r w:rsidRPr="00711A86">
        <w:rPr>
          <w:b/>
          <w:bCs/>
        </w:rPr>
        <w:lastRenderedPageBreak/>
        <w:t>Problem 4: Automobile Components – Auto Ancillary Manufacturer</w:t>
      </w:r>
    </w:p>
    <w:p w14:paraId="41A8E749" w14:textId="77777777" w:rsidR="00711A86" w:rsidRPr="00711A86" w:rsidRDefault="00711A86" w:rsidP="00711A86">
      <w:r w:rsidRPr="00711A86">
        <w:t xml:space="preserve">A PE firm is evaluating an investment in an </w:t>
      </w:r>
      <w:r w:rsidRPr="00711A86">
        <w:rPr>
          <w:b/>
          <w:bCs/>
        </w:rPr>
        <w:t>automobile components manufacturer</w:t>
      </w:r>
      <w:r w:rsidRPr="00711A86">
        <w:t xml:space="preserve"> supplying OEMs. The industry is cyclical and capital-intensive, with moderate margins and higher working capital requirements. Valuation is commonly benchmarked against </w:t>
      </w:r>
      <w:r w:rsidRPr="00711A86">
        <w:rPr>
          <w:b/>
          <w:bCs/>
        </w:rPr>
        <w:t>EBITDA multiples of comparable auto ancillary firms</w:t>
      </w:r>
      <w:r w:rsidRPr="00711A86">
        <w:t>.</w:t>
      </w:r>
    </w:p>
    <w:p w14:paraId="07BDB98F" w14:textId="2079C7AB" w:rsidR="00711A86" w:rsidRPr="00711A86" w:rsidRDefault="00711A86" w:rsidP="00711A86">
      <w:r w:rsidRPr="00711A86">
        <w:t xml:space="preserve">The company reports </w:t>
      </w:r>
      <w:r w:rsidRPr="00711A86">
        <w:rPr>
          <w:b/>
          <w:bCs/>
        </w:rPr>
        <w:t>LTM sales of ₹15,000,000</w:t>
      </w:r>
      <w:r w:rsidRPr="00711A86">
        <w:t xml:space="preserve"> and an </w:t>
      </w:r>
      <w:r w:rsidRPr="00711A86">
        <w:rPr>
          <w:b/>
          <w:bCs/>
        </w:rPr>
        <w:t>EBITDA margin of 18%</w:t>
      </w:r>
      <w:r w:rsidRPr="00711A86">
        <w:t xml:space="preserve">. An </w:t>
      </w:r>
      <w:r w:rsidRPr="00711A86">
        <w:rPr>
          <w:b/>
          <w:bCs/>
        </w:rPr>
        <w:t>entry EBITDA multiple of 6.5×</w:t>
      </w:r>
      <w:r w:rsidRPr="00711A86">
        <w:t xml:space="preserve"> is assumed. Revenue is expected to grow at </w:t>
      </w:r>
      <w:r>
        <w:rPr>
          <w:b/>
          <w:bCs/>
        </w:rPr>
        <w:t>an annual rate of 8%</w:t>
      </w:r>
      <w:r w:rsidRPr="00711A86">
        <w:t xml:space="preserve">, with EBITDA margins improving modestly to </w:t>
      </w:r>
      <w:r w:rsidRPr="00711A86">
        <w:rPr>
          <w:b/>
          <w:bCs/>
        </w:rPr>
        <w:t>20%</w:t>
      </w:r>
      <w:r w:rsidRPr="00711A86">
        <w:t xml:space="preserve">. The corporate tax rate is </w:t>
      </w:r>
      <w:r w:rsidRPr="00711A86">
        <w:rPr>
          <w:b/>
          <w:bCs/>
        </w:rPr>
        <w:t>25%</w:t>
      </w:r>
      <w:r w:rsidRPr="00711A86">
        <w:t xml:space="preserve">. The deal will be financed with </w:t>
      </w:r>
      <w:r w:rsidRPr="00711A86">
        <w:rPr>
          <w:b/>
          <w:bCs/>
        </w:rPr>
        <w:t>40% debt</w:t>
      </w:r>
      <w:r w:rsidRPr="00711A86">
        <w:t xml:space="preserve"> at an interest rate of </w:t>
      </w:r>
      <w:r w:rsidRPr="00711A86">
        <w:rPr>
          <w:b/>
          <w:bCs/>
        </w:rPr>
        <w:t>12%</w:t>
      </w:r>
      <w:r w:rsidRPr="00711A86">
        <w:t>.</w:t>
      </w:r>
    </w:p>
    <w:p w14:paraId="148454DB" w14:textId="77777777" w:rsidR="00711A86" w:rsidRPr="00711A86" w:rsidRDefault="00711A86" w:rsidP="00711A86">
      <w:r w:rsidRPr="00711A86">
        <w:t xml:space="preserve">Depreciation is </w:t>
      </w:r>
      <w:r w:rsidRPr="00711A86">
        <w:rPr>
          <w:b/>
          <w:bCs/>
        </w:rPr>
        <w:t>9% of sales</w:t>
      </w:r>
      <w:r w:rsidRPr="00711A86">
        <w:t xml:space="preserve">, capital expenditure is </w:t>
      </w:r>
      <w:r w:rsidRPr="00711A86">
        <w:rPr>
          <w:b/>
          <w:bCs/>
        </w:rPr>
        <w:t>11% of sales</w:t>
      </w:r>
      <w:r w:rsidRPr="00711A86">
        <w:t xml:space="preserve">, and net working capital investment equals </w:t>
      </w:r>
      <w:r w:rsidRPr="00711A86">
        <w:rPr>
          <w:b/>
          <w:bCs/>
        </w:rPr>
        <w:t>15% of sales</w:t>
      </w:r>
      <w:r w:rsidRPr="00711A86">
        <w:t xml:space="preserve">. The exit multiple after five years is estimated at </w:t>
      </w:r>
      <w:r w:rsidRPr="00711A86">
        <w:rPr>
          <w:b/>
          <w:bCs/>
        </w:rPr>
        <w:t>7.0× EBITDA</w:t>
      </w:r>
      <w:r w:rsidRPr="00711A86">
        <w:t>.</w:t>
      </w:r>
    </w:p>
    <w:p w14:paraId="33B807FD" w14:textId="77777777" w:rsidR="00711A86" w:rsidRPr="00711A86" w:rsidRDefault="00711A86" w:rsidP="00711A86">
      <w:r w:rsidRPr="00711A86">
        <w:rPr>
          <w:b/>
          <w:bCs/>
        </w:rPr>
        <w:t>Required:</w:t>
      </w:r>
      <w:r w:rsidRPr="00711A86">
        <w:br/>
        <w:t xml:space="preserve">Estimate entry and exit valuations, project income and cash flows, and compute the </w:t>
      </w:r>
      <w:r w:rsidRPr="00711A86">
        <w:rPr>
          <w:b/>
          <w:bCs/>
        </w:rPr>
        <w:t>IRR</w:t>
      </w:r>
      <w:r w:rsidRPr="00711A86">
        <w:t xml:space="preserve"> using the model framework.</w:t>
      </w:r>
    </w:p>
    <w:p w14:paraId="361731C1" w14:textId="77777777" w:rsidR="00711A86" w:rsidRPr="00711A86" w:rsidRDefault="00711A86" w:rsidP="00711A86">
      <w:r w:rsidRPr="00711A86">
        <w:pict w14:anchorId="64F90F36">
          <v:rect id="_x0000_i1058" style="width:0;height:1.5pt" o:hralign="center" o:hrstd="t" o:hr="t" fillcolor="#a0a0a0" stroked="f"/>
        </w:pict>
      </w:r>
    </w:p>
    <w:p w14:paraId="32DC7F79" w14:textId="77777777" w:rsidR="00711A86" w:rsidRPr="00711A86" w:rsidRDefault="00711A86" w:rsidP="00711A86">
      <w:pPr>
        <w:rPr>
          <w:b/>
          <w:bCs/>
        </w:rPr>
      </w:pPr>
      <w:r w:rsidRPr="00711A86">
        <w:rPr>
          <w:b/>
          <w:bCs/>
        </w:rPr>
        <w:t>Problem 5: Healthcare Services – Multi-Specialty Hospital Chain</w:t>
      </w:r>
    </w:p>
    <w:p w14:paraId="50130DF0" w14:textId="77777777" w:rsidR="00711A86" w:rsidRPr="00711A86" w:rsidRDefault="00711A86" w:rsidP="00711A86">
      <w:r w:rsidRPr="00711A86">
        <w:t xml:space="preserve">A private equity fund is assessing the acquisition of a </w:t>
      </w:r>
      <w:r w:rsidRPr="00711A86">
        <w:rPr>
          <w:b/>
          <w:bCs/>
        </w:rPr>
        <w:t>regional multi-specialty hospital chain</w:t>
      </w:r>
      <w:r w:rsidRPr="00711A86">
        <w:t xml:space="preserve">. Healthcare services typically exhibit </w:t>
      </w:r>
      <w:r w:rsidRPr="00711A86">
        <w:rPr>
          <w:b/>
          <w:bCs/>
        </w:rPr>
        <w:t>stable demand, moderate growth, and relatively high operating leverage</w:t>
      </w:r>
      <w:r w:rsidRPr="00711A86">
        <w:t>, making EBITDA-based valuation appropriate.</w:t>
      </w:r>
    </w:p>
    <w:p w14:paraId="060A86E2" w14:textId="77777777" w:rsidR="00711A86" w:rsidRPr="00711A86" w:rsidRDefault="00711A86" w:rsidP="00711A86">
      <w:r w:rsidRPr="00711A86">
        <w:t xml:space="preserve">The hospital group has </w:t>
      </w:r>
      <w:r w:rsidRPr="00711A86">
        <w:rPr>
          <w:b/>
          <w:bCs/>
        </w:rPr>
        <w:t>LTM sales of ₹10,500,000</w:t>
      </w:r>
      <w:r w:rsidRPr="00711A86">
        <w:t xml:space="preserve"> with an </w:t>
      </w:r>
      <w:r w:rsidRPr="00711A86">
        <w:rPr>
          <w:b/>
          <w:bCs/>
        </w:rPr>
        <w:t>EBITDA margin of 26%</w:t>
      </w:r>
      <w:r w:rsidRPr="00711A86">
        <w:t xml:space="preserve">. The fund applies an </w:t>
      </w:r>
      <w:r w:rsidRPr="00711A86">
        <w:rPr>
          <w:b/>
          <w:bCs/>
        </w:rPr>
        <w:t>entry EBITDA multiple of 9.0×</w:t>
      </w:r>
      <w:r w:rsidRPr="00711A86">
        <w:t xml:space="preserve">. Sales are expected to grow at </w:t>
      </w:r>
      <w:r w:rsidRPr="00711A86">
        <w:rPr>
          <w:b/>
          <w:bCs/>
        </w:rPr>
        <w:t>11% per year</w:t>
      </w:r>
      <w:r w:rsidRPr="00711A86">
        <w:t xml:space="preserve">, while EBITDA margins stabilize at </w:t>
      </w:r>
      <w:r w:rsidRPr="00711A86">
        <w:rPr>
          <w:b/>
          <w:bCs/>
        </w:rPr>
        <w:t>28%</w:t>
      </w:r>
      <w:r w:rsidRPr="00711A86">
        <w:t xml:space="preserve">. The corporate tax rate is </w:t>
      </w:r>
      <w:r w:rsidRPr="00711A86">
        <w:rPr>
          <w:b/>
          <w:bCs/>
        </w:rPr>
        <w:t>24%</w:t>
      </w:r>
      <w:r w:rsidRPr="00711A86">
        <w:t xml:space="preserve">. The acquisition is financed with </w:t>
      </w:r>
      <w:r w:rsidRPr="00711A86">
        <w:rPr>
          <w:b/>
          <w:bCs/>
        </w:rPr>
        <w:t>25% debt</w:t>
      </w:r>
      <w:r w:rsidRPr="00711A86">
        <w:t xml:space="preserve">, carrying an interest rate of </w:t>
      </w:r>
      <w:r w:rsidRPr="00711A86">
        <w:rPr>
          <w:b/>
          <w:bCs/>
        </w:rPr>
        <w:t>10.5%</w:t>
      </w:r>
      <w:r w:rsidRPr="00711A86">
        <w:t>.</w:t>
      </w:r>
    </w:p>
    <w:p w14:paraId="5CE545A5" w14:textId="77777777" w:rsidR="00711A86" w:rsidRPr="00711A86" w:rsidRDefault="00711A86" w:rsidP="00711A86">
      <w:r w:rsidRPr="00711A86">
        <w:t xml:space="preserve">Depreciation is </w:t>
      </w:r>
      <w:r w:rsidRPr="00711A86">
        <w:rPr>
          <w:b/>
          <w:bCs/>
        </w:rPr>
        <w:t>7% of sales</w:t>
      </w:r>
      <w:r w:rsidRPr="00711A86">
        <w:t xml:space="preserve">, capital expenditure </w:t>
      </w:r>
      <w:r w:rsidRPr="00711A86">
        <w:rPr>
          <w:b/>
          <w:bCs/>
        </w:rPr>
        <w:t>9% of sales</w:t>
      </w:r>
      <w:r w:rsidRPr="00711A86">
        <w:t xml:space="preserve">, and net working capital investment </w:t>
      </w:r>
      <w:r w:rsidRPr="00711A86">
        <w:rPr>
          <w:b/>
          <w:bCs/>
        </w:rPr>
        <w:t>10% of sales</w:t>
      </w:r>
      <w:r w:rsidRPr="00711A86">
        <w:t xml:space="preserve">. The expected exit multiple after five years is </w:t>
      </w:r>
      <w:r w:rsidRPr="00711A86">
        <w:rPr>
          <w:b/>
          <w:bCs/>
        </w:rPr>
        <w:t>10.0× EBITDA</w:t>
      </w:r>
      <w:r w:rsidRPr="00711A86">
        <w:t>.</w:t>
      </w:r>
    </w:p>
    <w:p w14:paraId="62ADB7F6" w14:textId="77777777" w:rsidR="00711A86" w:rsidRPr="00711A86" w:rsidRDefault="00711A86" w:rsidP="00711A86">
      <w:r w:rsidRPr="00711A86">
        <w:rPr>
          <w:b/>
          <w:bCs/>
        </w:rPr>
        <w:t>Required:</w:t>
      </w:r>
      <w:r w:rsidRPr="00711A86">
        <w:br/>
        <w:t>Using the given LBO model structure:</w:t>
      </w:r>
    </w:p>
    <w:p w14:paraId="3D773D39" w14:textId="77777777" w:rsidR="00711A86" w:rsidRPr="00711A86" w:rsidRDefault="00711A86" w:rsidP="00711A86">
      <w:pPr>
        <w:numPr>
          <w:ilvl w:val="0"/>
          <w:numId w:val="4"/>
        </w:numPr>
      </w:pPr>
      <w:r w:rsidRPr="00711A86">
        <w:t>Calculate entry valuation and equity investment.</w:t>
      </w:r>
    </w:p>
    <w:p w14:paraId="227479EB" w14:textId="77777777" w:rsidR="00711A86" w:rsidRPr="00711A86" w:rsidRDefault="00711A86" w:rsidP="00711A86">
      <w:pPr>
        <w:numPr>
          <w:ilvl w:val="0"/>
          <w:numId w:val="4"/>
        </w:numPr>
      </w:pPr>
      <w:r w:rsidRPr="00711A86">
        <w:t>Prepare five-year income and cash flow statements.</w:t>
      </w:r>
    </w:p>
    <w:p w14:paraId="6975E76A" w14:textId="77777777" w:rsidR="00711A86" w:rsidRPr="00711A86" w:rsidRDefault="00711A86" w:rsidP="00711A86">
      <w:pPr>
        <w:numPr>
          <w:ilvl w:val="0"/>
          <w:numId w:val="4"/>
        </w:numPr>
      </w:pPr>
      <w:r w:rsidRPr="00711A86">
        <w:t xml:space="preserve">Estimate exit value and </w:t>
      </w:r>
      <w:r w:rsidRPr="00711A86">
        <w:rPr>
          <w:b/>
          <w:bCs/>
        </w:rPr>
        <w:t>IRR to equity holders</w:t>
      </w:r>
      <w:r w:rsidRPr="00711A86">
        <w:t>.</w:t>
      </w:r>
    </w:p>
    <w:p w14:paraId="6B3BAC71" w14:textId="77777777" w:rsidR="00711A86" w:rsidRPr="00711A86" w:rsidRDefault="00711A86" w:rsidP="00711A86">
      <w:r w:rsidRPr="00711A86">
        <w:pict w14:anchorId="41C9729E">
          <v:rect id="_x0000_i1059" style="width:0;height:1.5pt" o:hralign="center" o:hrstd="t" o:hr="t" fillcolor="#a0a0a0" stroked="f"/>
        </w:pict>
      </w:r>
    </w:p>
    <w:sectPr w:rsidR="00711A86" w:rsidRPr="00711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8F1"/>
    <w:multiLevelType w:val="multilevel"/>
    <w:tmpl w:val="72E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127A1"/>
    <w:multiLevelType w:val="multilevel"/>
    <w:tmpl w:val="0042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65999"/>
    <w:multiLevelType w:val="multilevel"/>
    <w:tmpl w:val="1F02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82C2D"/>
    <w:multiLevelType w:val="multilevel"/>
    <w:tmpl w:val="CA7C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E352A5"/>
    <w:multiLevelType w:val="multilevel"/>
    <w:tmpl w:val="8466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236296">
    <w:abstractNumId w:val="4"/>
  </w:num>
  <w:num w:numId="2" w16cid:durableId="1847401625">
    <w:abstractNumId w:val="3"/>
  </w:num>
  <w:num w:numId="3" w16cid:durableId="1616139040">
    <w:abstractNumId w:val="2"/>
  </w:num>
  <w:num w:numId="4" w16cid:durableId="951397305">
    <w:abstractNumId w:val="1"/>
  </w:num>
  <w:num w:numId="5" w16cid:durableId="7467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86"/>
    <w:rsid w:val="00143A3C"/>
    <w:rsid w:val="001E7691"/>
    <w:rsid w:val="00711A86"/>
    <w:rsid w:val="00C0712A"/>
    <w:rsid w:val="00EB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00C0"/>
  <w15:chartTrackingRefBased/>
  <w15:docId w15:val="{9E0BE641-6960-404E-8C27-51DCC201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545</Words>
  <Characters>5315</Characters>
  <Application>Microsoft Office Word</Application>
  <DocSecurity>0</DocSecurity>
  <Lines>279</Lines>
  <Paragraphs>146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srikanthyadav444p</dc:creator>
  <cp:keywords/>
  <dc:description/>
  <cp:lastModifiedBy>srikanthyadav444p</cp:lastModifiedBy>
  <cp:revision>3</cp:revision>
  <dcterms:created xsi:type="dcterms:W3CDTF">2025-12-16T07:15:00Z</dcterms:created>
  <dcterms:modified xsi:type="dcterms:W3CDTF">2025-12-16T07:19:00Z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29c40a20-704e-4b78-a902-183ad088f8a9</vt:lpwstr>
  </property>
</Properties>
</file>