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jc w:val="center"/>
        <w:rPr/>
      </w:pPr>
      <w:r>
        <w:rPr>
          <w:b/>
          <w:color w:val="00467F"/>
          <w:sz w:val="56"/>
        </w:rPr>
        <w:t>S-UI-02</w:t>
      </w:r>
    </w:p>
    <w:p>
      <w:pPr>
        <w:pStyle w:val="Normal"/>
        <w:jc w:val="center"/>
        <w:rPr/>
      </w:pPr>
      <w:r>
        <w:rPr>
          <w:b/>
          <w:color w:val="00467F"/>
          <w:sz w:val="40"/>
        </w:rPr>
        <w:t>IEEE 2030.7/2030.8 Compliance Gap Analysis Report</w:t>
      </w:r>
    </w:p>
    <w:p>
      <w:pPr>
        <w:pStyle w:val="Normal"/>
        <w:rPr/>
      </w:pPr>
      <w:r>
        <w:rPr/>
      </w:r>
    </w:p>
    <w:p>
      <w:pPr>
        <w:pStyle w:val="Normal"/>
        <w:jc w:val="center"/>
        <w:rPr/>
      </w:pPr>
      <w:r>
        <w:rPr>
          <w:color w:val="00467F"/>
        </w:rPr>
        <w:t>────────────────────────────────────────────────────────────</w:t>
      </w:r>
    </w:p>
    <w:p>
      <w:pPr>
        <w:pStyle w:val="Normal"/>
        <w:rPr/>
      </w:pPr>
      <w:r>
        <w:rPr/>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680"/>
        <w:gridCol w:w="4680"/>
      </w:tblGrid>
      <w:tr>
        <w:trPr/>
        <w:tc>
          <w:tcPr>
            <w:tcW w:w="468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b/>
                <w:kern w:val="0"/>
                <w:szCs w:val="22"/>
                <w:lang w:val="en-US" w:eastAsia="en-US" w:bidi="ar-SA"/>
              </w:rPr>
              <w:t>Prepared For:</w:t>
            </w:r>
          </w:p>
        </w:tc>
        <w:tc>
          <w:tcPr>
            <w:tcW w:w="468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Delta Engineering / Strategic Compliance Initiative</w:t>
            </w:r>
          </w:p>
        </w:tc>
      </w:tr>
      <w:tr>
        <w:trPr/>
        <w:tc>
          <w:tcPr>
            <w:tcW w:w="468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b/>
                <w:kern w:val="0"/>
                <w:szCs w:val="22"/>
                <w:lang w:val="en-US" w:eastAsia="en-US" w:bidi="ar-SA"/>
              </w:rPr>
              <w:t>Report ID:</w:t>
            </w:r>
          </w:p>
        </w:tc>
        <w:tc>
          <w:tcPr>
            <w:tcW w:w="468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S-UI-02</w:t>
            </w:r>
          </w:p>
        </w:tc>
      </w:tr>
      <w:tr>
        <w:trPr/>
        <w:tc>
          <w:tcPr>
            <w:tcW w:w="468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b/>
                <w:kern w:val="0"/>
                <w:szCs w:val="22"/>
                <w:lang w:val="en-US" w:eastAsia="en-US" w:bidi="ar-SA"/>
              </w:rPr>
              <w:t>Date:</w:t>
            </w:r>
          </w:p>
        </w:tc>
        <w:tc>
          <w:tcPr>
            <w:tcW w:w="468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June 25, 2026</w:t>
            </w:r>
          </w:p>
        </w:tc>
      </w:tr>
      <w:tr>
        <w:trPr/>
        <w:tc>
          <w:tcPr>
            <w:tcW w:w="468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b/>
                <w:kern w:val="0"/>
                <w:szCs w:val="22"/>
                <w:lang w:val="en-US" w:eastAsia="en-US" w:bidi="ar-SA"/>
              </w:rPr>
              <w:t>Classification:</w:t>
            </w:r>
          </w:p>
        </w:tc>
        <w:tc>
          <w:tcPr>
            <w:tcW w:w="468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Confidential – Internal Strategy Document</w:t>
            </w:r>
          </w:p>
        </w:tc>
      </w:tr>
      <w:tr>
        <w:trPr/>
        <w:tc>
          <w:tcPr>
            <w:tcW w:w="468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b/>
                <w:kern w:val="0"/>
                <w:szCs w:val="22"/>
                <w:lang w:val="en-US" w:eastAsia="en-US" w:bidi="ar-SA"/>
              </w:rPr>
              <w:t>Version:</w:t>
            </w:r>
          </w:p>
        </w:tc>
        <w:tc>
          <w:tcPr>
            <w:tcW w:w="468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1.0</w:t>
            </w:r>
          </w:p>
        </w:tc>
      </w:tr>
      <w:tr>
        <w:trPr/>
        <w:tc>
          <w:tcPr>
            <w:tcW w:w="468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b/>
                <w:kern w:val="0"/>
                <w:szCs w:val="22"/>
                <w:lang w:val="en-US" w:eastAsia="en-US" w:bidi="ar-SA"/>
              </w:rPr>
              <w:t>Subject:</w:t>
            </w:r>
          </w:p>
        </w:tc>
        <w:tc>
          <w:tcPr>
            <w:tcW w:w="468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IEEE 2030.7/2030.8 Microgrid Controller Compliance</w:t>
              <w:br/>
              <w:t>East Coast Utility Interconnection</w:t>
            </w:r>
          </w:p>
        </w:tc>
      </w:tr>
    </w:tbl>
    <w:p>
      <w:pPr>
        <w:pStyle w:val="Normal"/>
        <w:jc w:val="center"/>
        <w:rPr/>
      </w:pPr>
      <w:r>
        <w:rPr>
          <w:i/>
          <w:color w:val="808080"/>
          <w:sz w:val="18"/>
        </w:rPr>
        <w:t>This document contains proprietary and confidential information. Distribution is restricted to authorized recipients only.</w:t>
      </w:r>
      <w:r>
        <w:br w:type="page"/>
      </w:r>
    </w:p>
    <w:p>
      <w:pPr>
        <w:pStyle w:val="Heading1"/>
        <w:spacing w:before="0" w:after="160"/>
        <w:rPr/>
      </w:pPr>
      <w:bookmarkStart w:id="0" w:name="__RefHeading___Toc3049_3356913938"/>
      <w:bookmarkEnd w:id="0"/>
      <w:r>
        <w:rPr>
          <w:color w:val="00467F"/>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webHidden/>
            </w:rPr>
            <w:instrText xml:space="preserve"> TOC \z \o "1-3" \u \h</w:instrText>
          </w:r>
          <w:r>
            <w:rPr>
              <w:rStyle w:val="IndexLink"/>
              <w:webHidden/>
            </w:rPr>
            <w:fldChar w:fldCharType="separate"/>
          </w:r>
          <w:hyperlink w:anchor="__RefHeading___Toc3049_3356913938" w:tooltip="Table of Contents">
            <w:r>
              <w:rPr>
                <w:rStyle w:val="IndexLink"/>
                <w:webHidden/>
              </w:rPr>
              <w:t>Table of Contents</w:t>
              <w:tab/>
              <w:t>2</w:t>
            </w:r>
          </w:hyperlink>
        </w:p>
        <w:p>
          <w:pPr>
            <w:pStyle w:val="TOC1"/>
            <w:tabs>
              <w:tab w:val="clear" w:pos="9360"/>
              <w:tab w:val="right" w:pos="9359" w:leader="dot"/>
            </w:tabs>
            <w:rPr/>
          </w:pPr>
          <w:hyperlink w:anchor="__RefHeading___Toc3051_3356913938" w:tooltip="Executive Summary">
            <w:r>
              <w:rPr>
                <w:rStyle w:val="IndexLink"/>
                <w:webHidden/>
              </w:rPr>
              <w:t>Executive Summary</w:t>
              <w:tab/>
              <w:t>5</w:t>
            </w:r>
          </w:hyperlink>
        </w:p>
        <w:p>
          <w:pPr>
            <w:pStyle w:val="TOC2"/>
            <w:tabs>
              <w:tab w:val="clear" w:pos="9077"/>
              <w:tab w:val="right" w:pos="9359" w:leader="dot"/>
            </w:tabs>
            <w:rPr/>
          </w:pPr>
          <w:hyperlink w:anchor="__RefHeading___Toc3053_3356913938" w:tooltip="Key Findings">
            <w:r>
              <w:rPr>
                <w:rStyle w:val="IndexLink"/>
                <w:webHidden/>
              </w:rPr>
              <w:t>Key Findings</w:t>
              <w:tab/>
              <w:t>5</w:t>
            </w:r>
          </w:hyperlink>
        </w:p>
        <w:p>
          <w:pPr>
            <w:pStyle w:val="TOC2"/>
            <w:tabs>
              <w:tab w:val="clear" w:pos="9077"/>
              <w:tab w:val="right" w:pos="9359" w:leader="dot"/>
            </w:tabs>
            <w:rPr/>
          </w:pPr>
          <w:hyperlink w:anchor="__RefHeading___Toc3055_3356913938" w:tooltip="Strategic Recommendations Summary">
            <w:r>
              <w:rPr>
                <w:rStyle w:val="IndexLink"/>
                <w:webHidden/>
              </w:rPr>
              <w:t>Strategic Recommendations Summary</w:t>
              <w:tab/>
              <w:t>5</w:t>
            </w:r>
          </w:hyperlink>
        </w:p>
        <w:p>
          <w:pPr>
            <w:pStyle w:val="TOC1"/>
            <w:tabs>
              <w:tab w:val="clear" w:pos="9360"/>
              <w:tab w:val="right" w:pos="9359" w:leader="dot"/>
            </w:tabs>
            <w:rPr/>
          </w:pPr>
          <w:hyperlink w:anchor="__RefHeading___Toc3057_3356913938" w:tooltip="Section 1: IEEE 2030.7/2030.8 Standards Baseline">
            <w:r>
              <w:rPr>
                <w:rStyle w:val="IndexLink"/>
                <w:webHidden/>
              </w:rPr>
              <w:t>Section 1: IEEE 2030.7/2030.8 Standards Baseline</w:t>
              <w:tab/>
              <w:t>7</w:t>
            </w:r>
          </w:hyperlink>
        </w:p>
        <w:p>
          <w:pPr>
            <w:pStyle w:val="TOC2"/>
            <w:tabs>
              <w:tab w:val="clear" w:pos="9077"/>
              <w:tab w:val="right" w:pos="9359" w:leader="dot"/>
            </w:tabs>
            <w:rPr/>
          </w:pPr>
          <w:hyperlink w:anchor="__RefHeading___Toc3059_3356913938" w:tooltip="1.1 IEEE 2030.7-2017: Microgrid Controller Specification">
            <w:r>
              <w:rPr>
                <w:rStyle w:val="IndexLink"/>
                <w:webHidden/>
              </w:rPr>
              <w:t>1.1 IEEE 2030.7-2017: Microgrid Controller Specification</w:t>
              <w:tab/>
              <w:t>7</w:t>
            </w:r>
          </w:hyperlink>
        </w:p>
        <w:p>
          <w:pPr>
            <w:pStyle w:val="TOC3"/>
            <w:tabs>
              <w:tab w:val="clear" w:pos="8793"/>
              <w:tab w:val="right" w:pos="9359" w:leader="dot"/>
            </w:tabs>
            <w:rPr/>
          </w:pPr>
          <w:hyperlink w:anchor="__RefHeading___Toc3061_3356913938" w:tooltip="1.1.1 Transition Function">
            <w:r>
              <w:rPr>
                <w:rStyle w:val="IndexLink"/>
                <w:webHidden/>
              </w:rPr>
              <w:t>1.1.1 Transition Function</w:t>
              <w:tab/>
              <w:t>7</w:t>
            </w:r>
          </w:hyperlink>
        </w:p>
        <w:p>
          <w:pPr>
            <w:pStyle w:val="TOC3"/>
            <w:tabs>
              <w:tab w:val="clear" w:pos="8793"/>
              <w:tab w:val="right" w:pos="9359" w:leader="dot"/>
            </w:tabs>
            <w:rPr/>
          </w:pPr>
          <w:hyperlink w:anchor="__RefHeading___Toc3063_3356913938" w:tooltip="1.1.2 Dispatch Function">
            <w:r>
              <w:rPr>
                <w:rStyle w:val="IndexLink"/>
                <w:webHidden/>
              </w:rPr>
              <w:t>1.1.2 Dispatch Function</w:t>
              <w:tab/>
              <w:t>7</w:t>
            </w:r>
          </w:hyperlink>
        </w:p>
        <w:p>
          <w:pPr>
            <w:pStyle w:val="TOC2"/>
            <w:tabs>
              <w:tab w:val="clear" w:pos="9077"/>
              <w:tab w:val="right" w:pos="9359" w:leader="dot"/>
            </w:tabs>
            <w:rPr/>
          </w:pPr>
          <w:hyperlink w:anchor="__RefHeading___Toc3065_3356913938" w:tooltip="1.2 IEEE 2030.8-2018: Microgrid Controller Testing">
            <w:r>
              <w:rPr>
                <w:rStyle w:val="IndexLink"/>
                <w:webHidden/>
              </w:rPr>
              <w:t>1.2 IEEE 2030.8-2018: Microgrid Controller Testing</w:t>
              <w:tab/>
              <w:t>7</w:t>
            </w:r>
          </w:hyperlink>
        </w:p>
        <w:p>
          <w:pPr>
            <w:pStyle w:val="TOC3"/>
            <w:tabs>
              <w:tab w:val="clear" w:pos="8793"/>
              <w:tab w:val="right" w:pos="9359" w:leader="dot"/>
            </w:tabs>
            <w:rPr/>
          </w:pPr>
          <w:hyperlink w:anchor="__RefHeading___Toc3067_3356913938" w:tooltip="Key Test Scenario Categories">
            <w:r>
              <w:rPr>
                <w:rStyle w:val="IndexLink"/>
                <w:webHidden/>
              </w:rPr>
              <w:t>Key Test Scenario Categories</w:t>
              <w:tab/>
              <w:t>8</w:t>
            </w:r>
          </w:hyperlink>
        </w:p>
        <w:p>
          <w:pPr>
            <w:pStyle w:val="TOC2"/>
            <w:tabs>
              <w:tab w:val="clear" w:pos="9077"/>
              <w:tab w:val="right" w:pos="9359" w:leader="dot"/>
            </w:tabs>
            <w:rPr/>
          </w:pPr>
          <w:hyperlink w:anchor="__RefHeading___Toc3069_3356913938" w:tooltip="1.3 EMS Integration, Communications, and CHIL Validation">
            <w:r>
              <w:rPr>
                <w:rStyle w:val="IndexLink"/>
                <w:webHidden/>
              </w:rPr>
              <w:t>1.3 EMS Integration, Communications, and CHIL Validation</w:t>
              <w:tab/>
              <w:t>8</w:t>
            </w:r>
          </w:hyperlink>
        </w:p>
        <w:p>
          <w:pPr>
            <w:pStyle w:val="TOC2"/>
            <w:tabs>
              <w:tab w:val="clear" w:pos="9077"/>
              <w:tab w:val="right" w:pos="9359" w:leader="dot"/>
            </w:tabs>
            <w:rPr/>
          </w:pPr>
          <w:hyperlink w:anchor="__RefHeading___Toc3071_3356913938" w:tooltip="1.4 IEEE 2030.7/2030.8 Requirements Summary Matrix">
            <w:r>
              <w:rPr>
                <w:rStyle w:val="IndexLink"/>
                <w:webHidden/>
              </w:rPr>
              <w:t>1.4 IEEE 2030.7/2030.8 Requirements Summary Matrix</w:t>
              <w:tab/>
              <w:t>8</w:t>
            </w:r>
          </w:hyperlink>
        </w:p>
        <w:p>
          <w:pPr>
            <w:pStyle w:val="TOC1"/>
            <w:tabs>
              <w:tab w:val="clear" w:pos="9360"/>
              <w:tab w:val="right" w:pos="9359" w:leader="dot"/>
            </w:tabs>
            <w:rPr/>
          </w:pPr>
          <w:hyperlink w:anchor="__RefHeading___Toc3073_3356913938" w:tooltip="Section 2: Regional Interconnection Rules Mapping">
            <w:r>
              <w:rPr>
                <w:rStyle w:val="IndexLink"/>
                <w:webHidden/>
              </w:rPr>
              <w:t>Section 2: Regional Interconnection Rules Mapping</w:t>
              <w:tab/>
              <w:t>10</w:t>
            </w:r>
          </w:hyperlink>
        </w:p>
        <w:p>
          <w:pPr>
            <w:pStyle w:val="TOC2"/>
            <w:tabs>
              <w:tab w:val="clear" w:pos="9077"/>
              <w:tab w:val="right" w:pos="9359" w:leader="dot"/>
            </w:tabs>
            <w:rPr/>
          </w:pPr>
          <w:hyperlink w:anchor="__RefHeading___Toc3075_3356913938" w:tooltip="2.1 IEEE 1547-2018: The Foundational Standard">
            <w:r>
              <w:rPr>
                <w:rStyle w:val="IndexLink"/>
                <w:webHidden/>
              </w:rPr>
              <w:t>2.1 IEEE 1547-2018: The Foundational Standard</w:t>
              <w:tab/>
              <w:t>10</w:t>
            </w:r>
          </w:hyperlink>
        </w:p>
        <w:p>
          <w:pPr>
            <w:pStyle w:val="TOC2"/>
            <w:tabs>
              <w:tab w:val="clear" w:pos="9077"/>
              <w:tab w:val="right" w:pos="9359" w:leader="dot"/>
            </w:tabs>
            <w:rPr/>
          </w:pPr>
          <w:hyperlink w:anchor="__RefHeading___Toc3077_3356913938" w:tooltip="2.2 PJM Interconnection">
            <w:r>
              <w:rPr>
                <w:rStyle w:val="IndexLink"/>
                <w:webHidden/>
              </w:rPr>
              <w:t>2.2 PJM Interconnection</w:t>
              <w:tab/>
              <w:t>10</w:t>
            </w:r>
          </w:hyperlink>
        </w:p>
        <w:p>
          <w:pPr>
            <w:pStyle w:val="TOC2"/>
            <w:tabs>
              <w:tab w:val="clear" w:pos="9077"/>
              <w:tab w:val="right" w:pos="9359" w:leader="dot"/>
            </w:tabs>
            <w:rPr/>
          </w:pPr>
          <w:hyperlink w:anchor="__RefHeading___Toc3079_3356913938" w:tooltip="2.3 New York ISO (NYISO)">
            <w:r>
              <w:rPr>
                <w:rStyle w:val="IndexLink"/>
                <w:webHidden/>
              </w:rPr>
              <w:t>2.3 New York ISO (NYISO)</w:t>
              <w:tab/>
              <w:t>10</w:t>
            </w:r>
          </w:hyperlink>
        </w:p>
        <w:p>
          <w:pPr>
            <w:pStyle w:val="TOC2"/>
            <w:tabs>
              <w:tab w:val="clear" w:pos="9077"/>
              <w:tab w:val="right" w:pos="9359" w:leader="dot"/>
            </w:tabs>
            <w:rPr/>
          </w:pPr>
          <w:hyperlink w:anchor="__RefHeading___Toc3081_3356913938" w:tooltip="2.4 ISO New England (ISO-NE)">
            <w:r>
              <w:rPr>
                <w:rStyle w:val="IndexLink"/>
                <w:webHidden/>
              </w:rPr>
              <w:t>2.4 ISO New England (ISO-NE)</w:t>
              <w:tab/>
              <w:t>11</w:t>
            </w:r>
          </w:hyperlink>
        </w:p>
        <w:p>
          <w:pPr>
            <w:pStyle w:val="TOC2"/>
            <w:tabs>
              <w:tab w:val="clear" w:pos="9077"/>
              <w:tab w:val="right" w:pos="9359" w:leader="dot"/>
            </w:tabs>
            <w:rPr/>
          </w:pPr>
          <w:hyperlink w:anchor="__RefHeading___Toc3083_3356913938" w:tooltip="2.5 MISO-East">
            <w:r>
              <w:rPr>
                <w:rStyle w:val="IndexLink"/>
                <w:webHidden/>
              </w:rPr>
              <w:t>2.5 MISO-East</w:t>
              <w:tab/>
              <w:t>11</w:t>
            </w:r>
          </w:hyperlink>
        </w:p>
        <w:p>
          <w:pPr>
            <w:pStyle w:val="TOC2"/>
            <w:tabs>
              <w:tab w:val="clear" w:pos="9077"/>
              <w:tab w:val="right" w:pos="9359" w:leader="dot"/>
            </w:tabs>
            <w:rPr/>
          </w:pPr>
          <w:hyperlink w:anchor="__RefHeading___Toc3085_3356913938" w:tooltip="2.6 East Coast IEEE 1547-2018 Adoption and RTO/ISO Requirements Matrix">
            <w:r>
              <w:rPr>
                <w:rStyle w:val="IndexLink"/>
                <w:webHidden/>
              </w:rPr>
              <w:t>2.6 East Coast IEEE 1547-2018 Adoption and RTO/ISO Requirements Matrix</w:t>
              <w:tab/>
              <w:t>11</w:t>
            </w:r>
          </w:hyperlink>
        </w:p>
        <w:p>
          <w:pPr>
            <w:pStyle w:val="TOC1"/>
            <w:tabs>
              <w:tab w:val="clear" w:pos="9360"/>
              <w:tab w:val="right" w:pos="9359" w:leader="dot"/>
            </w:tabs>
            <w:rPr/>
          </w:pPr>
          <w:hyperlink w:anchor="__RefHeading___Toc3087_3356913938" w:tooltip="Section 3: Utility-Specific Microgrid Requirements">
            <w:r>
              <w:rPr>
                <w:rStyle w:val="IndexLink"/>
                <w:webHidden/>
              </w:rPr>
              <w:t>Section 3: Utility-Specific Microgrid Requirements</w:t>
              <w:tab/>
              <w:t>13</w:t>
            </w:r>
          </w:hyperlink>
        </w:p>
        <w:p>
          <w:pPr>
            <w:pStyle w:val="TOC2"/>
            <w:tabs>
              <w:tab w:val="clear" w:pos="9077"/>
              <w:tab w:val="right" w:pos="9359" w:leader="dot"/>
            </w:tabs>
            <w:rPr/>
          </w:pPr>
          <w:hyperlink w:anchor="__RefHeading___Toc3089_3356913938" w:tooltip="3.1 Con Edison (ConEd) — New York City">
            <w:r>
              <w:rPr>
                <w:rStyle w:val="IndexLink"/>
                <w:webHidden/>
              </w:rPr>
              <w:t>3.1 Con Edison (ConEd) — New York City</w:t>
              <w:tab/>
              <w:t>13</w:t>
            </w:r>
          </w:hyperlink>
        </w:p>
        <w:p>
          <w:pPr>
            <w:pStyle w:val="TOC2"/>
            <w:tabs>
              <w:tab w:val="clear" w:pos="9077"/>
              <w:tab w:val="right" w:pos="9359" w:leader="dot"/>
            </w:tabs>
            <w:rPr/>
          </w:pPr>
          <w:hyperlink w:anchor="__RefHeading___Toc3091_3356913938" w:tooltip="3.2 National Grid (NY, MA, RI)">
            <w:r>
              <w:rPr>
                <w:rStyle w:val="IndexLink"/>
                <w:webHidden/>
              </w:rPr>
              <w:t>3.2 National Grid (NY, MA, RI)</w:t>
              <w:tab/>
              <w:t>13</w:t>
            </w:r>
          </w:hyperlink>
        </w:p>
        <w:p>
          <w:pPr>
            <w:pStyle w:val="TOC2"/>
            <w:tabs>
              <w:tab w:val="clear" w:pos="9077"/>
              <w:tab w:val="right" w:pos="9359" w:leader="dot"/>
            </w:tabs>
            <w:rPr/>
          </w:pPr>
          <w:hyperlink w:anchor="__RefHeading___Toc3093_3356913938" w:tooltip="3.3 Eversource (CT, MA, NH)">
            <w:r>
              <w:rPr>
                <w:rStyle w:val="IndexLink"/>
                <w:webHidden/>
              </w:rPr>
              <w:t>3.3 Eversource (CT, MA, NH)</w:t>
              <w:tab/>
              <w:t>13</w:t>
            </w:r>
          </w:hyperlink>
        </w:p>
        <w:p>
          <w:pPr>
            <w:pStyle w:val="TOC2"/>
            <w:tabs>
              <w:tab w:val="clear" w:pos="9077"/>
              <w:tab w:val="right" w:pos="9359" w:leader="dot"/>
            </w:tabs>
            <w:rPr/>
          </w:pPr>
          <w:hyperlink w:anchor="__RefHeading___Toc3095_3356913938" w:tooltip="3.4 Dominion Energy (VA, NC)">
            <w:r>
              <w:rPr>
                <w:rStyle w:val="IndexLink"/>
                <w:webHidden/>
              </w:rPr>
              <w:t>3.4 Dominion Energy (VA, NC)</w:t>
              <w:tab/>
              <w:t>14</w:t>
            </w:r>
          </w:hyperlink>
        </w:p>
        <w:p>
          <w:pPr>
            <w:pStyle w:val="TOC2"/>
            <w:tabs>
              <w:tab w:val="clear" w:pos="9077"/>
              <w:tab w:val="right" w:pos="9359" w:leader="dot"/>
            </w:tabs>
            <w:rPr/>
          </w:pPr>
          <w:hyperlink w:anchor="__RefHeading___Toc3097_3356913938" w:tooltip="3.5 Duke Energy (NC, SC, FL)">
            <w:r>
              <w:rPr>
                <w:rStyle w:val="IndexLink"/>
                <w:webHidden/>
              </w:rPr>
              <w:t>3.5 Duke Energy (NC, SC, FL)</w:t>
              <w:tab/>
              <w:t>14</w:t>
            </w:r>
          </w:hyperlink>
        </w:p>
        <w:p>
          <w:pPr>
            <w:pStyle w:val="TOC2"/>
            <w:tabs>
              <w:tab w:val="clear" w:pos="9077"/>
              <w:tab w:val="right" w:pos="9359" w:leader="dot"/>
            </w:tabs>
            <w:rPr/>
          </w:pPr>
          <w:hyperlink w:anchor="__RefHeading___Toc3099_3356913938" w:tooltip="3.6 Additional Utilities: PSE&amp;G, BGE, PPL, ComEd, DTE Energy">
            <w:r>
              <w:rPr>
                <w:rStyle w:val="IndexLink"/>
                <w:webHidden/>
              </w:rPr>
              <w:t>3.6 Additional Utilities: PSE&amp;G, BGE, PPL, ComEd, DTE Energy</w:t>
              <w:tab/>
              <w:t>14</w:t>
            </w:r>
          </w:hyperlink>
        </w:p>
        <w:p>
          <w:pPr>
            <w:pStyle w:val="TOC2"/>
            <w:tabs>
              <w:tab w:val="clear" w:pos="9077"/>
              <w:tab w:val="right" w:pos="9359" w:leader="dot"/>
            </w:tabs>
            <w:rPr/>
          </w:pPr>
          <w:hyperlink w:anchor="__RefHeading___Toc3101_3356913938" w:tooltip="3.7 Utility Microgrid Controller Requirements Comparison Matrix">
            <w:r>
              <w:rPr>
                <w:rStyle w:val="IndexLink"/>
                <w:webHidden/>
              </w:rPr>
              <w:t>3.7 Utility Microgrid Controller Requirements Comparison Matrix</w:t>
              <w:tab/>
              <w:t>15</w:t>
            </w:r>
          </w:hyperlink>
        </w:p>
        <w:p>
          <w:pPr>
            <w:pStyle w:val="TOC1"/>
            <w:tabs>
              <w:tab w:val="clear" w:pos="9360"/>
              <w:tab w:val="right" w:pos="9359" w:leader="dot"/>
            </w:tabs>
            <w:rPr/>
          </w:pPr>
          <w:hyperlink w:anchor="__RefHeading___Toc3103_3356913938" w:tooltip="Section 4: Test Framework Gap Analysis">
            <w:r>
              <w:rPr>
                <w:rStyle w:val="IndexLink"/>
                <w:webHidden/>
              </w:rPr>
              <w:t>Section 4: Test Framework Gap Analysis</w:t>
              <w:tab/>
              <w:t>17</w:t>
            </w:r>
          </w:hyperlink>
        </w:p>
        <w:p>
          <w:pPr>
            <w:pStyle w:val="TOC2"/>
            <w:tabs>
              <w:tab w:val="clear" w:pos="9077"/>
              <w:tab w:val="right" w:pos="9359" w:leader="dot"/>
            </w:tabs>
            <w:rPr/>
          </w:pPr>
          <w:hyperlink w:anchor="__RefHeading___Toc3105_3356913938" w:tooltip="4.1 Recommended Test Platform: Controller Hardware-in-the-Loop (CHIL)">
            <w:r>
              <w:rPr>
                <w:rStyle w:val="IndexLink"/>
                <w:webHidden/>
              </w:rPr>
              <w:t>4.1 Recommended Test Platform: Controller Hardware-in-the-Loop (CHIL)</w:t>
              <w:tab/>
              <w:t>17</w:t>
            </w:r>
          </w:hyperlink>
        </w:p>
        <w:p>
          <w:pPr>
            <w:pStyle w:val="TOC2"/>
            <w:tabs>
              <w:tab w:val="clear" w:pos="9077"/>
              <w:tab w:val="right" w:pos="9359" w:leader="dot"/>
            </w:tabs>
            <w:rPr/>
          </w:pPr>
          <w:hyperlink w:anchor="__RefHeading___Toc3107_3356913938" w:tooltip="4.2 IEEE 2030.8 Test Cases Adapted for East Coast Utilities">
            <w:r>
              <w:rPr>
                <w:rStyle w:val="IndexLink"/>
                <w:webHidden/>
              </w:rPr>
              <w:t>4.2 IEEE 2030.8 Test Cases Adapted for East Coast Utilities</w:t>
              <w:tab/>
              <w:t>17</w:t>
            </w:r>
          </w:hyperlink>
        </w:p>
        <w:p>
          <w:pPr>
            <w:pStyle w:val="TOC3"/>
            <w:tabs>
              <w:tab w:val="clear" w:pos="8793"/>
              <w:tab w:val="right" w:pos="9359" w:leader="dot"/>
            </w:tabs>
            <w:rPr/>
          </w:pPr>
          <w:hyperlink w:anchor="__RefHeading___Toc3109_3356913938" w:tooltip="Test Case Group 1: Transition and Islanding Logic">
            <w:r>
              <w:rPr>
                <w:rStyle w:val="IndexLink"/>
                <w:webHidden/>
              </w:rPr>
              <w:t>Test Case Group 1: Transition and Islanding Logic</w:t>
              <w:tab/>
              <w:t>17</w:t>
            </w:r>
          </w:hyperlink>
        </w:p>
        <w:p>
          <w:pPr>
            <w:pStyle w:val="TOC3"/>
            <w:tabs>
              <w:tab w:val="clear" w:pos="8793"/>
              <w:tab w:val="right" w:pos="9359" w:leader="dot"/>
            </w:tabs>
            <w:rPr/>
          </w:pPr>
          <w:hyperlink w:anchor="__RefHeading___Toc3111_3356913938" w:tooltip="Test Case Group 2: Grid Support and Utility Control">
            <w:r>
              <w:rPr>
                <w:rStyle w:val="IndexLink"/>
                <w:webHidden/>
              </w:rPr>
              <w:t>Test Case Group 2: Grid Support and Utility Control</w:t>
              <w:tab/>
              <w:t>18</w:t>
            </w:r>
          </w:hyperlink>
        </w:p>
        <w:p>
          <w:pPr>
            <w:pStyle w:val="TOC3"/>
            <w:tabs>
              <w:tab w:val="clear" w:pos="8793"/>
              <w:tab w:val="right" w:pos="9359" w:leader="dot"/>
            </w:tabs>
            <w:rPr/>
          </w:pPr>
          <w:hyperlink w:anchor="__RefHeading___Toc3113_3356913938" w:tooltip="Test Case Group 3: Islanded Mode Stability">
            <w:r>
              <w:rPr>
                <w:rStyle w:val="IndexLink"/>
                <w:webHidden/>
              </w:rPr>
              <w:t>Test Case Group 3: Islanded Mode Stability</w:t>
              <w:tab/>
              <w:t>19</w:t>
            </w:r>
          </w:hyperlink>
        </w:p>
        <w:p>
          <w:pPr>
            <w:pStyle w:val="TOC2"/>
            <w:tabs>
              <w:tab w:val="clear" w:pos="9077"/>
              <w:tab w:val="right" w:pos="9359" w:leader="dot"/>
            </w:tabs>
            <w:rPr/>
          </w:pPr>
          <w:hyperlink w:anchor="__RefHeading___Toc3115_3356913938" w:tooltip="4.3 Test Framework vs. Utility Requirements Gap Matrix">
            <w:r>
              <w:rPr>
                <w:rStyle w:val="IndexLink"/>
                <w:webHidden/>
              </w:rPr>
              <w:t>4.3 Test Framework vs. Utility Requirements Gap Matrix</w:t>
              <w:tab/>
              <w:t>19</w:t>
            </w:r>
          </w:hyperlink>
        </w:p>
        <w:p>
          <w:pPr>
            <w:pStyle w:val="TOC1"/>
            <w:tabs>
              <w:tab w:val="clear" w:pos="9360"/>
              <w:tab w:val="right" w:pos="9359" w:leader="dot"/>
            </w:tabs>
            <w:rPr/>
          </w:pPr>
          <w:hyperlink w:anchor="__RefHeading___Toc3117_3356913938" w:tooltip="Section 5: Certification Laboratory Pathways">
            <w:r>
              <w:rPr>
                <w:rStyle w:val="IndexLink"/>
                <w:webHidden/>
              </w:rPr>
              <w:t>Section 5: Certification Laboratory Pathways</w:t>
              <w:tab/>
              <w:t>21</w:t>
            </w:r>
          </w:hyperlink>
        </w:p>
        <w:p>
          <w:pPr>
            <w:pStyle w:val="TOC2"/>
            <w:tabs>
              <w:tab w:val="clear" w:pos="9077"/>
              <w:tab w:val="right" w:pos="9359" w:leader="dot"/>
            </w:tabs>
            <w:rPr/>
          </w:pPr>
          <w:hyperlink w:anchor="__RefHeading___Toc3119_3356913938" w:tooltip="5.1 KEMA Labs (Chalfont, Pennsylvania)">
            <w:r>
              <w:rPr>
                <w:rStyle w:val="IndexLink"/>
                <w:webHidden/>
              </w:rPr>
              <w:t>5.1 KEMA Labs (Chalfont, Pennsylvania)</w:t>
              <w:tab/>
              <w:t>21</w:t>
            </w:r>
          </w:hyperlink>
        </w:p>
        <w:p>
          <w:pPr>
            <w:pStyle w:val="TOC2"/>
            <w:tabs>
              <w:tab w:val="clear" w:pos="9077"/>
              <w:tab w:val="right" w:pos="9359" w:leader="dot"/>
            </w:tabs>
            <w:rPr/>
          </w:pPr>
          <w:hyperlink w:anchor="__RefHeading___Toc3121_3356913938" w:tooltip="5.2 Intertek (Cortland, NY and Multiple Locations)">
            <w:r>
              <w:rPr>
                <w:rStyle w:val="IndexLink"/>
                <w:webHidden/>
              </w:rPr>
              <w:t>5.2 Intertek (Cortland, NY and Multiple Locations)</w:t>
              <w:tab/>
              <w:t>21</w:t>
            </w:r>
          </w:hyperlink>
        </w:p>
        <w:p>
          <w:pPr>
            <w:pStyle w:val="TOC2"/>
            <w:tabs>
              <w:tab w:val="clear" w:pos="9077"/>
              <w:tab w:val="right" w:pos="9359" w:leader="dot"/>
            </w:tabs>
            <w:rPr/>
          </w:pPr>
          <w:hyperlink w:anchor="__RefHeading___Toc3123_3356913938" w:tooltip="5.3 UL Solutions (Multiple Locations)">
            <w:r>
              <w:rPr>
                <w:rStyle w:val="IndexLink"/>
                <w:webHidden/>
              </w:rPr>
              <w:t>5.3 UL Solutions (Multiple Locations)</w:t>
              <w:tab/>
              <w:t>21</w:t>
            </w:r>
          </w:hyperlink>
        </w:p>
        <w:p>
          <w:pPr>
            <w:pStyle w:val="TOC2"/>
            <w:tabs>
              <w:tab w:val="clear" w:pos="9077"/>
              <w:tab w:val="right" w:pos="9359" w:leader="dot"/>
            </w:tabs>
            <w:rPr/>
          </w:pPr>
          <w:hyperlink w:anchor="__RefHeading___Toc3125_3356913938" w:tooltip="5.4 Indicative Timelines and Costs">
            <w:r>
              <w:rPr>
                <w:rStyle w:val="IndexLink"/>
                <w:webHidden/>
              </w:rPr>
              <w:t>5.4 Indicative Timelines and Costs</w:t>
              <w:tab/>
              <w:t>22</w:t>
            </w:r>
          </w:hyperlink>
        </w:p>
        <w:p>
          <w:pPr>
            <w:pStyle w:val="TOC2"/>
            <w:tabs>
              <w:tab w:val="clear" w:pos="9077"/>
              <w:tab w:val="right" w:pos="9359" w:leader="dot"/>
            </w:tabs>
            <w:rPr/>
          </w:pPr>
          <w:hyperlink w:anchor="__RefHeading___Toc3127_3356913938" w:tooltip="5.5 Certification Pathway Strategy for Delta">
            <w:r>
              <w:rPr>
                <w:rStyle w:val="IndexLink"/>
                <w:webHidden/>
              </w:rPr>
              <w:t>5.5 Certification Pathway Strategy for Delta</w:t>
              <w:tab/>
              <w:t>22</w:t>
            </w:r>
          </w:hyperlink>
        </w:p>
        <w:p>
          <w:pPr>
            <w:pStyle w:val="TOC1"/>
            <w:tabs>
              <w:tab w:val="clear" w:pos="9360"/>
              <w:tab w:val="right" w:pos="9359" w:leader="dot"/>
            </w:tabs>
            <w:rPr/>
          </w:pPr>
          <w:hyperlink w:anchor="__RefHeading___Toc3129_3356913938" w:tooltip="Section 6: Stakeholder Interview Framework">
            <w:r>
              <w:rPr>
                <w:rStyle w:val="IndexLink"/>
                <w:webHidden/>
              </w:rPr>
              <w:t>Section 6: Stakeholder Interview Framework</w:t>
              <w:tab/>
              <w:t>24</w:t>
            </w:r>
          </w:hyperlink>
        </w:p>
        <w:p>
          <w:pPr>
            <w:pStyle w:val="TOC2"/>
            <w:tabs>
              <w:tab w:val="clear" w:pos="9077"/>
              <w:tab w:val="right" w:pos="9359" w:leader="dot"/>
            </w:tabs>
            <w:rPr/>
          </w:pPr>
          <w:hyperlink w:anchor="__RefHeading___Toc3131_3356913938" w:tooltip="6.1 Questions for Utility Protection Engineers">
            <w:r>
              <w:rPr>
                <w:rStyle w:val="IndexLink"/>
                <w:webHidden/>
              </w:rPr>
              <w:t>6.1 Questions for Utility Protection Engineers</w:t>
              <w:tab/>
              <w:t>24</w:t>
            </w:r>
          </w:hyperlink>
        </w:p>
        <w:p>
          <w:pPr>
            <w:pStyle w:val="TOC3"/>
            <w:tabs>
              <w:tab w:val="clear" w:pos="8793"/>
              <w:tab w:val="right" w:pos="9359" w:leader="dot"/>
            </w:tabs>
            <w:rPr/>
          </w:pPr>
          <w:hyperlink w:anchor="__RefHeading___Toc3133_3356913938" w:tooltip="Islanding and Ride-Through">
            <w:r>
              <w:rPr>
                <w:rStyle w:val="IndexLink"/>
                <w:webHidden/>
              </w:rPr>
              <w:t>Islanding and Ride-Through</w:t>
              <w:tab/>
              <w:t>24</w:t>
            </w:r>
          </w:hyperlink>
        </w:p>
        <w:p>
          <w:pPr>
            <w:pStyle w:val="TOC3"/>
            <w:tabs>
              <w:tab w:val="clear" w:pos="8793"/>
              <w:tab w:val="right" w:pos="9359" w:leader="dot"/>
            </w:tabs>
            <w:rPr/>
          </w:pPr>
          <w:hyperlink w:anchor="__RefHeading___Toc3135_3356913938" w:tooltip="Protection Coordination">
            <w:r>
              <w:rPr>
                <w:rStyle w:val="IndexLink"/>
                <w:webHidden/>
              </w:rPr>
              <w:t>Protection Coordination</w:t>
              <w:tab/>
              <w:t>24</w:t>
            </w:r>
          </w:hyperlink>
        </w:p>
        <w:p>
          <w:pPr>
            <w:pStyle w:val="TOC3"/>
            <w:tabs>
              <w:tab w:val="clear" w:pos="8793"/>
              <w:tab w:val="right" w:pos="9359" w:leader="dot"/>
            </w:tabs>
            <w:rPr/>
          </w:pPr>
          <w:hyperlink w:anchor="__RefHeading___Toc3137_3356913938" w:tooltip="Controller Integration">
            <w:r>
              <w:rPr>
                <w:rStyle w:val="IndexLink"/>
                <w:webHidden/>
              </w:rPr>
              <w:t>Controller Integration</w:t>
              <w:tab/>
              <w:t>24</w:t>
            </w:r>
          </w:hyperlink>
        </w:p>
        <w:p>
          <w:pPr>
            <w:pStyle w:val="TOC2"/>
            <w:tabs>
              <w:tab w:val="clear" w:pos="9077"/>
              <w:tab w:val="right" w:pos="9359" w:leader="dot"/>
            </w:tabs>
            <w:rPr/>
          </w:pPr>
          <w:hyperlink w:anchor="__RefHeading___Toc3139_3356913938" w:tooltip="6.2 Questions for Utility Metering Engineers">
            <w:r>
              <w:rPr>
                <w:rStyle w:val="IndexLink"/>
                <w:webHidden/>
              </w:rPr>
              <w:t>6.2 Questions for Utility Metering Engineers</w:t>
              <w:tab/>
              <w:t>24</w:t>
            </w:r>
          </w:hyperlink>
        </w:p>
        <w:p>
          <w:pPr>
            <w:pStyle w:val="TOC3"/>
            <w:tabs>
              <w:tab w:val="clear" w:pos="8793"/>
              <w:tab w:val="right" w:pos="9359" w:leader="dot"/>
            </w:tabs>
            <w:rPr/>
          </w:pPr>
          <w:hyperlink w:anchor="__RefHeading___Toc3141_3356913938" w:tooltip="Instrument Transformers (CTs/PTs)">
            <w:r>
              <w:rPr>
                <w:rStyle w:val="IndexLink"/>
                <w:webHidden/>
              </w:rPr>
              <w:t>Instrument Transformers (CTs/PTs)</w:t>
              <w:tab/>
              <w:t>24</w:t>
            </w:r>
          </w:hyperlink>
        </w:p>
        <w:p>
          <w:pPr>
            <w:pStyle w:val="TOC3"/>
            <w:tabs>
              <w:tab w:val="clear" w:pos="8793"/>
              <w:tab w:val="right" w:pos="9359" w:leader="dot"/>
            </w:tabs>
            <w:rPr/>
          </w:pPr>
          <w:hyperlink w:anchor="__RefHeading___Toc3143_3356913938" w:tooltip="Meter and Data Requirements">
            <w:r>
              <w:rPr>
                <w:rStyle w:val="IndexLink"/>
                <w:webHidden/>
              </w:rPr>
              <w:t>Meter and Data Requirements</w:t>
              <w:tab/>
              <w:t>25</w:t>
            </w:r>
          </w:hyperlink>
        </w:p>
        <w:p>
          <w:pPr>
            <w:pStyle w:val="TOC3"/>
            <w:tabs>
              <w:tab w:val="clear" w:pos="8793"/>
              <w:tab w:val="right" w:pos="9359" w:leader="dot"/>
            </w:tabs>
            <w:rPr/>
          </w:pPr>
          <w:hyperlink w:anchor="__RefHeading___Toc3145_3356913938" w:tooltip="Net Metering and Billing">
            <w:r>
              <w:rPr>
                <w:rStyle w:val="IndexLink"/>
                <w:webHidden/>
              </w:rPr>
              <w:t>Net Metering and Billing</w:t>
              <w:tab/>
              <w:t>25</w:t>
            </w:r>
          </w:hyperlink>
        </w:p>
        <w:p>
          <w:pPr>
            <w:pStyle w:val="TOC2"/>
            <w:tabs>
              <w:tab w:val="clear" w:pos="9077"/>
              <w:tab w:val="right" w:pos="9359" w:leader="dot"/>
            </w:tabs>
            <w:rPr/>
          </w:pPr>
          <w:hyperlink w:anchor="__RefHeading___Toc3147_3356913938" w:tooltip="6.3 Questions for IEEE Working Group Members (2030.7/2030.8)">
            <w:r>
              <w:rPr>
                <w:rStyle w:val="IndexLink"/>
                <w:webHidden/>
              </w:rPr>
              <w:t>6.3 Questions for IEEE Working Group Members (2030.7/2030.8)</w:t>
              <w:tab/>
              <w:t>25</w:t>
            </w:r>
          </w:hyperlink>
        </w:p>
        <w:p>
          <w:pPr>
            <w:pStyle w:val="TOC3"/>
            <w:tabs>
              <w:tab w:val="clear" w:pos="8793"/>
              <w:tab w:val="right" w:pos="9359" w:leader="dot"/>
            </w:tabs>
            <w:rPr/>
          </w:pPr>
          <w:hyperlink w:anchor="__RefHeading___Toc3149_3356913938" w:tooltip="Intent and Interpretation">
            <w:r>
              <w:rPr>
                <w:rStyle w:val="IndexLink"/>
                <w:webHidden/>
              </w:rPr>
              <w:t>Intent and Interpretation</w:t>
              <w:tab/>
              <w:t>25</w:t>
            </w:r>
          </w:hyperlink>
        </w:p>
        <w:p>
          <w:pPr>
            <w:pStyle w:val="TOC3"/>
            <w:tabs>
              <w:tab w:val="clear" w:pos="8793"/>
              <w:tab w:val="right" w:pos="9359" w:leader="dot"/>
            </w:tabs>
            <w:rPr/>
          </w:pPr>
          <w:hyperlink w:anchor="__RefHeading___Toc3151_3356913938" w:tooltip="Gaps and Future Evolution">
            <w:r>
              <w:rPr>
                <w:rStyle w:val="IndexLink"/>
                <w:webHidden/>
              </w:rPr>
              <w:t>Gaps and Future Evolution</w:t>
              <w:tab/>
              <w:t>25</w:t>
            </w:r>
          </w:hyperlink>
        </w:p>
        <w:p>
          <w:pPr>
            <w:pStyle w:val="TOC2"/>
            <w:tabs>
              <w:tab w:val="clear" w:pos="9077"/>
              <w:tab w:val="right" w:pos="9359" w:leader="dot"/>
            </w:tabs>
            <w:rPr/>
          </w:pPr>
          <w:hyperlink w:anchor="__RefHeading___Toc3153_3356913938" w:tooltip="6.4 Key Stakeholder Identification and Engagement Strategy">
            <w:r>
              <w:rPr>
                <w:rStyle w:val="IndexLink"/>
                <w:webHidden/>
              </w:rPr>
              <w:t>6.4 Key Stakeholder Identification and Engagement Strategy</w:t>
              <w:tab/>
              <w:t>25</w:t>
            </w:r>
          </w:hyperlink>
        </w:p>
        <w:p>
          <w:pPr>
            <w:pStyle w:val="TOC1"/>
            <w:tabs>
              <w:tab w:val="clear" w:pos="9360"/>
              <w:tab w:val="right" w:pos="9359" w:leader="dot"/>
            </w:tabs>
            <w:rPr/>
          </w:pPr>
          <w:hyperlink w:anchor="__RefHeading___Toc3155_3356913938" w:tooltip="Section 7: Consolidated Gap Analysis">
            <w:r>
              <w:rPr>
                <w:rStyle w:val="IndexLink"/>
                <w:webHidden/>
              </w:rPr>
              <w:t>Section 7: Consolidated Gap Analysis</w:t>
              <w:tab/>
              <w:t>27</w:t>
            </w:r>
          </w:hyperlink>
        </w:p>
        <w:p>
          <w:pPr>
            <w:pStyle w:val="TOC2"/>
            <w:tabs>
              <w:tab w:val="clear" w:pos="9077"/>
              <w:tab w:val="right" w:pos="9359" w:leader="dot"/>
            </w:tabs>
            <w:rPr/>
          </w:pPr>
          <w:hyperlink w:anchor="__RefHeading___Toc3157_3356913938" w:tooltip="7.1 Technical Compliance Gaps Summary">
            <w:r>
              <w:rPr>
                <w:rStyle w:val="IndexLink"/>
                <w:webHidden/>
              </w:rPr>
              <w:t>7.1 Technical Compliance Gaps Summary</w:t>
              <w:tab/>
              <w:t>27</w:t>
            </w:r>
          </w:hyperlink>
        </w:p>
        <w:p>
          <w:pPr>
            <w:pStyle w:val="TOC2"/>
            <w:tabs>
              <w:tab w:val="clear" w:pos="9077"/>
              <w:tab w:val="right" w:pos="9359" w:leader="dot"/>
            </w:tabs>
            <w:rPr/>
          </w:pPr>
          <w:hyperlink w:anchor="__RefHeading___Toc3159_3356913938" w:tooltip="7.2 Risk Assessment Framework">
            <w:r>
              <w:rPr>
                <w:rStyle w:val="IndexLink"/>
                <w:webHidden/>
              </w:rPr>
              <w:t>7.2 Risk Assessment Framework</w:t>
              <w:tab/>
              <w:t>29</w:t>
            </w:r>
          </w:hyperlink>
        </w:p>
        <w:p>
          <w:pPr>
            <w:pStyle w:val="TOC2"/>
            <w:tabs>
              <w:tab w:val="clear" w:pos="9077"/>
              <w:tab w:val="right" w:pos="9359" w:leader="dot"/>
            </w:tabs>
            <w:rPr/>
          </w:pPr>
          <w:hyperlink w:anchor="__RefHeading___Toc3161_3356913938" w:tooltip="7.3 Prioritized Mitigation Actions">
            <w:r>
              <w:rPr>
                <w:rStyle w:val="IndexLink"/>
                <w:webHidden/>
              </w:rPr>
              <w:t>7.3 Prioritized Mitigation Actions</w:t>
              <w:tab/>
              <w:t>29</w:t>
            </w:r>
          </w:hyperlink>
        </w:p>
        <w:p>
          <w:pPr>
            <w:pStyle w:val="TOC1"/>
            <w:tabs>
              <w:tab w:val="clear" w:pos="9360"/>
              <w:tab w:val="right" w:pos="9359" w:leader="dot"/>
            </w:tabs>
            <w:rPr/>
          </w:pPr>
          <w:hyperlink w:anchor="__RefHeading___Toc3163_3356913938" w:tooltip="Section 8: Strategic Recommendations &amp; Implementation Roadmap">
            <w:r>
              <w:rPr>
                <w:rStyle w:val="IndexLink"/>
                <w:webHidden/>
              </w:rPr>
              <w:t>Section 8: Strategic Recommendations &amp; Implementation Roadmap</w:t>
              <w:tab/>
              <w:t>31</w:t>
            </w:r>
          </w:hyperlink>
        </w:p>
        <w:p>
          <w:pPr>
            <w:pStyle w:val="TOC2"/>
            <w:tabs>
              <w:tab w:val="clear" w:pos="9077"/>
              <w:tab w:val="right" w:pos="9359" w:leader="dot"/>
            </w:tabs>
            <w:rPr/>
          </w:pPr>
          <w:hyperlink w:anchor="__RefHeading___Toc3165_3356913938" w:tooltip="8.1 Strategic Recommendation 1: Utility Profile Architecture">
            <w:r>
              <w:rPr>
                <w:rStyle w:val="IndexLink"/>
                <w:webHidden/>
              </w:rPr>
              <w:t>8.1 Strategic Recommendation 1: Utility Profile Architecture</w:t>
              <w:tab/>
              <w:t>31</w:t>
            </w:r>
          </w:hyperlink>
        </w:p>
        <w:p>
          <w:pPr>
            <w:pStyle w:val="TOC2"/>
            <w:tabs>
              <w:tab w:val="clear" w:pos="9077"/>
              <w:tab w:val="right" w:pos="9359" w:leader="dot"/>
            </w:tabs>
            <w:rPr/>
          </w:pPr>
          <w:hyperlink w:anchor="__RefHeading___Toc3167_3356913938" w:tooltip="8.2 Strategic Recommendation 2: In-House CHIL Testbed">
            <w:r>
              <w:rPr>
                <w:rStyle w:val="IndexLink"/>
                <w:webHidden/>
              </w:rPr>
              <w:t>8.2 Strategic Recommendation 2: In-House CHIL Testbed</w:t>
              <w:tab/>
              <w:t>31</w:t>
            </w:r>
          </w:hyperlink>
        </w:p>
        <w:p>
          <w:pPr>
            <w:pStyle w:val="TOC2"/>
            <w:tabs>
              <w:tab w:val="clear" w:pos="9077"/>
              <w:tab w:val="right" w:pos="9359" w:leader="dot"/>
            </w:tabs>
            <w:rPr/>
          </w:pPr>
          <w:hyperlink w:anchor="__RefHeading___Toc3169_3356913938" w:tooltip="8.3 Strategic Recommendation 3: Standardized Utility Integration Module (UIM)">
            <w:r>
              <w:rPr>
                <w:rStyle w:val="IndexLink"/>
                <w:webHidden/>
              </w:rPr>
              <w:t>8.3 Strategic Recommendation 3: Standardized Utility Integration Module (UIM)</w:t>
              <w:tab/>
              <w:t>31</w:t>
            </w:r>
          </w:hyperlink>
        </w:p>
        <w:p>
          <w:pPr>
            <w:pStyle w:val="TOC2"/>
            <w:tabs>
              <w:tab w:val="clear" w:pos="9077"/>
              <w:tab w:val="right" w:pos="9359" w:leader="dot"/>
            </w:tabs>
            <w:rPr/>
          </w:pPr>
          <w:hyperlink w:anchor="__RefHeading___Toc3171_3356913938" w:tooltip="8.4 Strategic Recommendation 4: Core Engineering Competencies">
            <w:r>
              <w:rPr>
                <w:rStyle w:val="IndexLink"/>
                <w:webHidden/>
              </w:rPr>
              <w:t>8.4 Strategic Recommendation 4: Core Engineering Competencies</w:t>
              <w:tab/>
              <w:t>31</w:t>
            </w:r>
          </w:hyperlink>
        </w:p>
        <w:p>
          <w:pPr>
            <w:pStyle w:val="TOC2"/>
            <w:tabs>
              <w:tab w:val="clear" w:pos="9077"/>
              <w:tab w:val="right" w:pos="9359" w:leader="dot"/>
            </w:tabs>
            <w:rPr/>
          </w:pPr>
          <w:hyperlink w:anchor="__RefHeading___Toc3173_3356913938" w:tooltip="8.5 Strategic Recommendation 5: Compliance Documentation Library">
            <w:r>
              <w:rPr>
                <w:rStyle w:val="IndexLink"/>
                <w:webHidden/>
              </w:rPr>
              <w:t>8.5 Strategic Recommendation 5: Compliance Documentation Library</w:t>
              <w:tab/>
              <w:t>32</w:t>
            </w:r>
          </w:hyperlink>
        </w:p>
        <w:p>
          <w:pPr>
            <w:pStyle w:val="TOC2"/>
            <w:tabs>
              <w:tab w:val="clear" w:pos="9077"/>
              <w:tab w:val="right" w:pos="9359" w:leader="dot"/>
            </w:tabs>
            <w:rPr/>
          </w:pPr>
          <w:hyperlink w:anchor="__RefHeading___Toc3175_3356913938" w:tooltip="8.6 Implementation Roadmap">
            <w:r>
              <w:rPr>
                <w:rStyle w:val="IndexLink"/>
                <w:webHidden/>
              </w:rPr>
              <w:t>8.6 Implementation Roadmap</w:t>
              <w:tab/>
              <w:t>32</w:t>
            </w:r>
          </w:hyperlink>
        </w:p>
        <w:p>
          <w:pPr>
            <w:pStyle w:val="TOC2"/>
            <w:tabs>
              <w:tab w:val="clear" w:pos="9077"/>
              <w:tab w:val="right" w:pos="9359" w:leader="dot"/>
            </w:tabs>
            <w:rPr/>
          </w:pPr>
          <w:hyperlink w:anchor="__RefHeading___Toc3177_3356913938" w:tooltip="8.7 Success Metrics">
            <w:r>
              <w:rPr>
                <w:rStyle w:val="IndexLink"/>
                <w:webHidden/>
              </w:rPr>
              <w:t>8.7 Success Metrics</w:t>
              <w:tab/>
              <w:t>33</w:t>
            </w:r>
          </w:hyperlink>
        </w:p>
        <w:p>
          <w:pPr>
            <w:pStyle w:val="TOC1"/>
            <w:tabs>
              <w:tab w:val="clear" w:pos="9360"/>
              <w:tab w:val="right" w:pos="9359" w:leader="dot"/>
            </w:tabs>
            <w:rPr/>
          </w:pPr>
          <w:hyperlink w:anchor="__RefHeading___Toc3179_3356913938" w:tooltip="Appendix A: Revenue Metering Standards and Utility Requirements">
            <w:r>
              <w:rPr>
                <w:rStyle w:val="IndexLink"/>
                <w:webHidden/>
              </w:rPr>
              <w:t>Appendix A: Revenue Metering Standards and Utility Requirements</w:t>
              <w:tab/>
              <w:t>34</w:t>
            </w:r>
          </w:hyperlink>
        </w:p>
        <w:p>
          <w:pPr>
            <w:pStyle w:val="TOC2"/>
            <w:tabs>
              <w:tab w:val="clear" w:pos="9077"/>
              <w:tab w:val="right" w:pos="9359" w:leader="dot"/>
            </w:tabs>
            <w:rPr/>
          </w:pPr>
          <w:hyperlink w:anchor="__RefHeading___Toc3181_3356913938" w:tooltip="A.1 Governing Standards">
            <w:r>
              <w:rPr>
                <w:rStyle w:val="IndexLink"/>
                <w:webHidden/>
              </w:rPr>
              <w:t>A.1 Governing Standards</w:t>
              <w:tab/>
              <w:t>34</w:t>
            </w:r>
          </w:hyperlink>
        </w:p>
        <w:p>
          <w:pPr>
            <w:pStyle w:val="TOC2"/>
            <w:tabs>
              <w:tab w:val="clear" w:pos="9077"/>
              <w:tab w:val="right" w:pos="9359" w:leader="dot"/>
            </w:tabs>
            <w:rPr/>
          </w:pPr>
          <w:hyperlink w:anchor="__RefHeading___Toc3183_3356913938" w:tooltip="A.2 MV CT/PT Selection Best Practices">
            <w:r>
              <w:rPr>
                <w:rStyle w:val="IndexLink"/>
                <w:webHidden/>
              </w:rPr>
              <w:t>A.2 MV CT/PT Selection Best Practices</w:t>
              <w:tab/>
              <w:t>34</w:t>
            </w:r>
          </w:hyperlink>
        </w:p>
        <w:p>
          <w:pPr>
            <w:pStyle w:val="TOC2"/>
            <w:tabs>
              <w:tab w:val="clear" w:pos="9077"/>
              <w:tab w:val="right" w:pos="9359" w:leader="dot"/>
            </w:tabs>
            <w:rPr/>
          </w:pPr>
          <w:hyperlink w:anchor="__RefHeading___Toc3185_3356913938" w:tooltip="A.3 East Coast Utility Revenue Metering Matrix">
            <w:r>
              <w:rPr>
                <w:rStyle w:val="IndexLink"/>
                <w:webHidden/>
              </w:rPr>
              <w:t>A.3 East Coast Utility Revenue Metering Matrix</w:t>
              <w:tab/>
              <w:t>34</w:t>
            </w:r>
          </w:hyperlink>
        </w:p>
        <w:p>
          <w:pPr>
            <w:pStyle w:val="TOC1"/>
            <w:tabs>
              <w:tab w:val="clear" w:pos="9360"/>
              <w:tab w:val="right" w:pos="9359" w:leader="dot"/>
            </w:tabs>
            <w:rPr/>
          </w:pPr>
          <w:hyperlink w:anchor="__RefHeading___Toc3187_3356913938" w:tooltip="Appendix B: References">
            <w:r>
              <w:rPr>
                <w:rStyle w:val="IndexLink"/>
                <w:webHidden/>
              </w:rPr>
              <w:t>Appendix B: References</w:t>
              <w:tab/>
              <w:t>37</w:t>
            </w:r>
          </w:hyperlink>
          <w:r>
            <w:rPr>
              <w:rStyle w:val="IndexLink"/>
            </w:rPr>
            <w:fldChar w:fldCharType="end"/>
          </w:r>
        </w:p>
      </w:sdtContent>
    </w:sdt>
    <w:p>
      <w:pPr>
        <w:pStyle w:val="Heading1"/>
        <w:rPr/>
      </w:pPr>
      <w:r>
        <w:br w:type="page"/>
      </w:r>
      <w:bookmarkStart w:id="1" w:name="__RefHeading___Toc3051_3356913938"/>
      <w:bookmarkEnd w:id="1"/>
      <w:r>
        <w:rPr/>
        <w:t>Executive Summary</w:t>
      </w:r>
    </w:p>
    <w:p>
      <w:pPr>
        <w:pStyle w:val="Normal"/>
        <w:rPr/>
      </w:pPr>
      <w:r>
        <w:rPr/>
        <w:t>The transition towards a decentralized, resilient, and decarbonized energy infrastructure has positioned microgrids as a critical component of the modern electric power system. For microgrid integrators such as Delta, demonstrating technical proficiency and adherence to a complex web of industry standards and utility-specific requirements is the primary determinant of market success and project viability.</w:t>
      </w:r>
    </w:p>
    <w:p>
      <w:pPr>
        <w:pStyle w:val="Normal"/>
        <w:rPr/>
      </w:pPr>
      <w:r>
        <w:rPr/>
        <w:t>This report provides a comprehensive gap analysis of Delta's compliance posture against the IEEE 2030.7 and IEEE 2030.8 standards and the broader ecosystem of East Coast interconnection requirements. The analysis spans ten major utilities, four regional transmission organizations (RTOs/ISOs), and the full lifecycle from controller specification through field commissioning and revenue metering.</w:t>
      </w:r>
    </w:p>
    <w:p>
      <w:pPr>
        <w:pStyle w:val="Heading2"/>
        <w:rPr/>
      </w:pPr>
      <w:bookmarkStart w:id="2" w:name="__RefHeading___Toc3053_3356913938"/>
      <w:bookmarkEnd w:id="2"/>
      <w:r>
        <w:rPr/>
        <w:t>Key Findings</w:t>
      </w:r>
    </w:p>
    <w:p>
      <w:pPr>
        <w:pStyle w:val="Normal"/>
        <w:ind w:start="360"/>
        <w:rPr/>
      </w:pPr>
      <w:r>
        <w:rPr>
          <w:b/>
          <w:color w:val="00467F"/>
        </w:rPr>
        <w:t xml:space="preserve">▶  </w:t>
      </w:r>
      <w:r>
        <w:rPr>
          <w:b/>
          <w:color w:val="00467F"/>
        </w:rPr>
        <w:t xml:space="preserve">Standards Alignment Gap: </w:t>
      </w:r>
      <w:r>
        <w:rPr/>
        <w:t>IEEE 2030.7 defines four critical controller functions (planned islanding, unplanned islanding, resynchronization, and black start) that must be fully validated. IEEE 2030.8 provides the test framework for verification. Delta must establish a formal testing program aligned to these standards before approaching East Coast utility interconnection applications.</w:t>
      </w:r>
    </w:p>
    <w:p>
      <w:pPr>
        <w:pStyle w:val="Normal"/>
        <w:ind w:start="360"/>
        <w:rPr/>
      </w:pPr>
      <w:r>
        <w:rPr>
          <w:b/>
          <w:color w:val="00467F"/>
        </w:rPr>
        <w:t xml:space="preserve">▶  </w:t>
      </w:r>
      <w:r>
        <w:rPr>
          <w:b/>
          <w:color w:val="00467F"/>
        </w:rPr>
        <w:t xml:space="preserve">Regional Interconnection Complexity: </w:t>
      </w:r>
      <w:r>
        <w:rPr/>
        <w:t>PJM, NYISO, ISO-NE, and MISO-East have each adopted IEEE 1547-2018 with varying timelines and mandates. NYISO and ISO-NE have the most prescriptive requirements, including mandatory ride-through categories and UL 1741 SB certification. PJM emphasizes aggregate DER ride-through and may require Direct Transfer Trip (DTT) on a case-by-case basis.</w:t>
      </w:r>
    </w:p>
    <w:p>
      <w:pPr>
        <w:pStyle w:val="Normal"/>
        <w:ind w:start="360"/>
        <w:rPr/>
      </w:pPr>
      <w:r>
        <w:rPr>
          <w:b/>
          <w:color w:val="00467F"/>
        </w:rPr>
        <w:t xml:space="preserve">▶  </w:t>
      </w:r>
      <w:r>
        <w:rPr>
          <w:b/>
          <w:color w:val="00467F"/>
        </w:rPr>
        <w:t xml:space="preserve">Utility-Specific Divergence: </w:t>
      </w:r>
      <w:r>
        <w:rPr/>
        <w:t>While common themes exist (mandatory disconnects, engineering studies, SCADA visibility for larger systems), implementation diverges significantly. Con Edison's urban network grid requirements represent the most stringent environment, requiring Communications Aided Tripping (CAT) schemes. Eversource mandates a Power Plant Controller (PPC) architecture with DNP3 integration for facilities ≥ 500 kW.</w:t>
      </w:r>
    </w:p>
    <w:p>
      <w:pPr>
        <w:pStyle w:val="Normal"/>
        <w:ind w:start="360"/>
        <w:rPr/>
      </w:pPr>
      <w:r>
        <w:rPr>
          <w:b/>
          <w:color w:val="00467F"/>
        </w:rPr>
        <w:t xml:space="preserve">▶  </w:t>
      </w:r>
      <w:r>
        <w:rPr>
          <w:b/>
          <w:color w:val="00467F"/>
        </w:rPr>
        <w:t xml:space="preserve">Testing Evidence Deficit: </w:t>
      </w:r>
      <w:r>
        <w:rPr/>
        <w:t>The absence of CHIL-validated test reports is the single greatest barrier to utility acceptance. Utility engineers have no basis to trust controller performance without quantifiable evidence. Establishing an in-house CHIL testbed is the highest-priority capital investment Delta should make.</w:t>
      </w:r>
    </w:p>
    <w:p>
      <w:pPr>
        <w:pStyle w:val="Normal"/>
        <w:ind w:start="360"/>
        <w:rPr/>
      </w:pPr>
      <w:r>
        <w:rPr>
          <w:b/>
          <w:color w:val="00467F"/>
        </w:rPr>
        <w:t xml:space="preserve">▶  </w:t>
      </w:r>
      <w:r>
        <w:rPr>
          <w:b/>
          <w:color w:val="00467F"/>
        </w:rPr>
        <w:t xml:space="preserve">Metering Compliance Risk: </w:t>
      </w:r>
      <w:r>
        <w:rPr/>
        <w:t>Revenue-grade metering is a gatekeeper for commercial operation. Incorrect CT/PT selection, burden violations, or improper wiring are the primary reasons for failed commissioning inspections. This requires dedicated in-house expertise and pre-approved design packages for each target utility.</w:t>
      </w:r>
    </w:p>
    <w:p>
      <w:pPr>
        <w:pStyle w:val="Heading2"/>
        <w:rPr/>
      </w:pPr>
      <w:bookmarkStart w:id="3" w:name="__RefHeading___Toc3055_3356913938"/>
      <w:bookmarkEnd w:id="3"/>
      <w:r>
        <w:rPr/>
        <w:t>Strategic Recommendations Summary</w:t>
      </w:r>
    </w:p>
    <w:p>
      <w:pPr>
        <w:pStyle w:val="ListBullet"/>
        <w:numPr>
          <w:ilvl w:val="0"/>
          <w:numId w:val="1"/>
        </w:numPr>
        <w:ind w:hanging="360" w:start="360"/>
        <w:rPr/>
      </w:pPr>
      <w:r>
        <w:rPr/>
        <w:t>Develop a 'Utility Profile' software architecture in the Delta controller enabling rapid deployment of pre-validated utility-specific configurations.</w:t>
      </w:r>
    </w:p>
    <w:p>
      <w:pPr>
        <w:pStyle w:val="ListBullet"/>
        <w:numPr>
          <w:ilvl w:val="0"/>
          <w:numId w:val="1"/>
        </w:numPr>
        <w:ind w:hanging="360" w:start="360"/>
        <w:rPr/>
      </w:pPr>
      <w:r>
        <w:rPr/>
        <w:t>Establish an in-house Controller Hardware-in-the-Loop (CHIL) testbed to generate certification-quality compliance evidence before utility submission.</w:t>
      </w:r>
    </w:p>
    <w:p>
      <w:pPr>
        <w:pStyle w:val="ListBullet"/>
        <w:numPr>
          <w:ilvl w:val="0"/>
          <w:numId w:val="1"/>
        </w:numPr>
        <w:ind w:hanging="360" w:start="360"/>
        <w:rPr/>
      </w:pPr>
      <w:r>
        <w:rPr/>
        <w:t>Engineer a standardized Utility Integration Module (UIM) for DTT, protocol conversion (DNP3), and SCADA interfacing.</w:t>
      </w:r>
    </w:p>
    <w:p>
      <w:pPr>
        <w:pStyle w:val="ListBullet"/>
        <w:numPr>
          <w:ilvl w:val="0"/>
          <w:numId w:val="1"/>
        </w:numPr>
        <w:ind w:hanging="360" w:start="360"/>
        <w:rPr/>
      </w:pPr>
      <w:r>
        <w:rPr/>
        <w:t>Hire senior engineers with deep utility protection and revenue metering expertise as core competencies, not project-dependent resources.</w:t>
      </w:r>
    </w:p>
    <w:p>
      <w:pPr>
        <w:pStyle w:val="ListBullet"/>
        <w:numPr>
          <w:ilvl w:val="0"/>
          <w:numId w:val="1"/>
        </w:numPr>
        <w:ind w:hanging="360" w:start="360"/>
        <w:rPr/>
      </w:pPr>
      <w:r>
        <w:rPr/>
        <w:t>Build a digital compliance documentation library covering UL certifications, CHIL reports, protection settings, and metering drawings for all target utilities.</w:t>
      </w:r>
    </w:p>
    <w:p>
      <w:pPr>
        <w:pStyle w:val="ListBullet"/>
        <w:numPr>
          <w:ilvl w:val="0"/>
          <w:numId w:val="1"/>
        </w:numPr>
        <w:ind w:hanging="360" w:start="360"/>
        <w:rPr/>
      </w:pPr>
      <w:r>
        <w:rPr/>
        <w:t>Pursue UL 1741 SB and UL 9540 certification for all integrated DER components as a non-negotiable vendor selection criterion.</w:t>
      </w:r>
    </w:p>
    <w:p>
      <w:pPr>
        <w:pStyle w:val="Normal"/>
        <w:rPr/>
      </w:pPr>
      <w:r>
        <w:rPr/>
      </w:r>
    </w:p>
    <w:p>
      <w:pPr>
        <w:pStyle w:val="Normal"/>
        <w:rPr/>
      </w:pPr>
      <w:r>
        <w:rPr>
          <w:b/>
        </w:rPr>
        <w:t xml:space="preserve">Overall Compliance Readiness Assessment: </w:t>
      </w:r>
      <w:r>
        <w:rPr/>
        <w:t>Delta's current strategic position presents a significant market opportunity. The East Coast microgrid market is underserved by technically rigorous integrators capable of navigating multi-jurisdictional compliance requirements. By executing the recommendations in this report, Delta can establish a durable competitive moat within 18–24 months.</w:t>
      </w:r>
      <w:r>
        <w:br w:type="page"/>
      </w:r>
    </w:p>
    <w:p>
      <w:pPr>
        <w:pStyle w:val="Heading1"/>
        <w:spacing w:before="0" w:after="160"/>
        <w:rPr/>
      </w:pPr>
      <w:bookmarkStart w:id="4" w:name="__RefHeading___Toc3057_3356913938"/>
      <w:bookmarkEnd w:id="4"/>
      <w:r>
        <w:rPr/>
        <w:t>Section 1: IEEE 2030.7/2030.8 Standards Baseline</w:t>
      </w:r>
    </w:p>
    <w:p>
      <w:pPr>
        <w:pStyle w:val="Normal"/>
        <w:rPr/>
      </w:pPr>
      <w:r>
        <w:rPr/>
        <w:t>A comprehensive understanding of the IEEE 2030.7 and IEEE 2030.8 standards is fundamental to designing, testing, and deploying compliant microgrid control systems. These two standards are complementary: 2030.7 defines the functional requirements of a microgrid controller, while 2030.8 establishes the standardized procedures for verifying its performance. Together, they form a complete framework for controller specification and validation.</w:t>
      </w:r>
    </w:p>
    <w:p>
      <w:pPr>
        <w:pStyle w:val="Heading2"/>
        <w:rPr/>
      </w:pPr>
      <w:bookmarkStart w:id="5" w:name="__RefHeading___Toc3059_3356913938"/>
      <w:bookmarkEnd w:id="5"/>
      <w:r>
        <w:rPr/>
        <w:t>1.1  IEEE 2030.7-2017: Microgrid Controller Specification</w:t>
      </w:r>
    </w:p>
    <w:p>
      <w:pPr>
        <w:pStyle w:val="Normal"/>
        <w:rPr/>
      </w:pPr>
      <w:r>
        <w:rPr/>
        <w:t>IEEE 2030.7 defines the 'what'—the core functional requirements and technical specifications that a Microgrid Controller (MGC) must possess. The standard was developed to create a universal model, the 'Generic Microgrid Controller' (GMC), adaptable to various microgrid sizes, topologies, and asset compositions. It focuses on functions above the individual device control level, abstracting the controller's role to manage the microgrid as a single, controllable entity.</w:t>
      </w:r>
    </w:p>
    <w:p>
      <w:pPr>
        <w:pStyle w:val="Heading3"/>
        <w:rPr/>
      </w:pPr>
      <w:bookmarkStart w:id="6" w:name="__RefHeading___Toc3061_3356913938"/>
      <w:bookmarkEnd w:id="6"/>
      <w:r>
        <w:rPr/>
        <w:t>1.1.1  Transition Function</w:t>
      </w:r>
    </w:p>
    <w:p>
      <w:pPr>
        <w:pStyle w:val="Normal"/>
        <w:rPr/>
      </w:pPr>
      <w:r>
        <w:rPr/>
        <w:t>The Transition Function is the most critical function for grid-interactive microgrids. It governs the connection and disconnection of the microgrid from the area Electric Power System (EPS). The standard specifies requirements for four distinct transition modes:</w:t>
      </w:r>
    </w:p>
    <w:p>
      <w:pPr>
        <w:pStyle w:val="ListBullet"/>
        <w:numPr>
          <w:ilvl w:val="0"/>
          <w:numId w:val="1"/>
        </w:numPr>
        <w:rPr/>
      </w:pPr>
      <w:r>
        <w:rPr>
          <w:b/>
        </w:rPr>
        <w:t xml:space="preserve">Planned Islanding: </w:t>
      </w:r>
      <w:r>
        <w:rPr/>
        <w:t>A scheduled, orderly disconnection from the utility grid, typically for maintenance or economic reasons. The controller must manage load and generation to ensure seamless separation without disruption to critical loads within the microgrid.</w:t>
      </w:r>
    </w:p>
    <w:p>
      <w:pPr>
        <w:pStyle w:val="ListBullet"/>
        <w:numPr>
          <w:ilvl w:val="0"/>
          <w:numId w:val="1"/>
        </w:numPr>
        <w:rPr/>
      </w:pPr>
      <w:r>
        <w:rPr>
          <w:b/>
        </w:rPr>
        <w:t xml:space="preserve">Unplanned Islanding (UPI): </w:t>
      </w:r>
      <w:r>
        <w:rPr/>
        <w:t>An automatic, rapid disconnection in response to a utility grid disturbance (e.g., fault, outage). The controller must detect loss of grid, open the Point of Interconnection (POI) protective device, and immediately stabilize voltage and frequency using available resources. IEEE 1547-2018 mandates cessation of energizing within 2 seconds.</w:t>
      </w:r>
    </w:p>
    <w:p>
      <w:pPr>
        <w:pStyle w:val="ListBullet"/>
        <w:numPr>
          <w:ilvl w:val="0"/>
          <w:numId w:val="1"/>
        </w:numPr>
        <w:rPr/>
      </w:pPr>
      <w:r>
        <w:rPr>
          <w:b/>
        </w:rPr>
        <w:t xml:space="preserve">Reconnection / Resynchronization: </w:t>
      </w:r>
      <w:r>
        <w:rPr/>
        <w:t>The process of safely reconnecting the islanded microgrid back to the utility grid. The controller must actively monitor grid voltage, frequency, and phase angle, then synchronize the microgrid's output to match these parameters within strict tolerances (typically &lt;5% ΔV, &lt;0.1 Hz Δf, &lt;10° Δθ) before closing the POI breaker per ANSI C50.13.</w:t>
      </w:r>
    </w:p>
    <w:p>
      <w:pPr>
        <w:pStyle w:val="ListBullet"/>
        <w:numPr>
          <w:ilvl w:val="0"/>
          <w:numId w:val="1"/>
        </w:numPr>
        <w:rPr/>
      </w:pPr>
      <w:r>
        <w:rPr>
          <w:b/>
        </w:rPr>
        <w:t xml:space="preserve">Black Start: </w:t>
      </w:r>
      <w:r>
        <w:rPr/>
        <w:t>The ability to energize a de-energized microgrid without support from the main utility grid. This involves bringing a grid-forming DER online to establish stable voltage and frequency, followed by sequential restoration of other DERs and loads.</w:t>
      </w:r>
    </w:p>
    <w:p>
      <w:pPr>
        <w:pStyle w:val="Heading3"/>
        <w:rPr/>
      </w:pPr>
      <w:bookmarkStart w:id="7" w:name="__RefHeading___Toc3063_3356913938"/>
      <w:bookmarkEnd w:id="7"/>
      <w:r>
        <w:rPr/>
        <w:t>1.1.2  Dispatch Function</w:t>
      </w:r>
    </w:p>
    <w:p>
      <w:pPr>
        <w:pStyle w:val="Normal"/>
        <w:rPr/>
      </w:pPr>
      <w:r>
        <w:rPr/>
        <w:t>The Dispatch Function concerns management of the microgrid's internal assets to meet specific operational objectives. The controller provides set points to asset-level controllers (inverter controllers, generator governors) to execute a dispatch plan. This plan may be derived from rule-based logic (e.g., priority tables for load shedding) or from optimization-based algorithms considering economic signals, renewable forecasts, and load predictions. The standard specifies the controller must manage dispatch in both grid-connected and islanded modes.</w:t>
      </w:r>
    </w:p>
    <w:p>
      <w:pPr>
        <w:pStyle w:val="Heading2"/>
        <w:rPr/>
      </w:pPr>
      <w:bookmarkStart w:id="8" w:name="__RefHeading___Toc3065_3356913938"/>
      <w:bookmarkEnd w:id="8"/>
      <w:r>
        <w:rPr/>
        <w:t>1.2  IEEE 2030.8-2018: Microgrid Controller Testing</w:t>
      </w:r>
    </w:p>
    <w:p>
      <w:pPr>
        <w:pStyle w:val="Normal"/>
        <w:rPr/>
      </w:pPr>
      <w:r>
        <w:rPr/>
        <w:t>IEEE 2030.8 defines the 'how'—the standardized testing procedures required to verify that an MGC meets the functional specifications laid out in IEEE 2030.7. It provides a structured, repeatable, and quantifiable methodology for assessing controller performance. The standard is platform-independent and is intended for use at development, Factory Acceptance Testing (FAT), and Site Acceptance Testing (SAT) stages.</w:t>
      </w:r>
    </w:p>
    <w:p>
      <w:pPr>
        <w:pStyle w:val="Heading3"/>
        <w:rPr/>
      </w:pPr>
      <w:bookmarkStart w:id="9" w:name="__RefHeading___Toc3067_3356913938"/>
      <w:bookmarkEnd w:id="9"/>
      <w:r>
        <w:rPr/>
        <w:t>Key Test Scenario Categories</w:t>
      </w:r>
    </w:p>
    <w:p>
      <w:pPr>
        <w:pStyle w:val="ListBullet"/>
        <w:numPr>
          <w:ilvl w:val="0"/>
          <w:numId w:val="1"/>
        </w:numPr>
        <w:rPr/>
      </w:pPr>
      <w:r>
        <w:rPr>
          <w:b/>
        </w:rPr>
        <w:t xml:space="preserve">Mode Transition Tests: </w:t>
      </w:r>
      <w:r>
        <w:rPr/>
        <w:t>Validating both planned and unplanned transitions between grid-connected and islanded modes, including simulated grid faults, UPI response time measurement, and smooth separation/reconnection.</w:t>
      </w:r>
    </w:p>
    <w:p>
      <w:pPr>
        <w:pStyle w:val="ListBullet"/>
        <w:numPr>
          <w:ilvl w:val="0"/>
          <w:numId w:val="1"/>
        </w:numPr>
        <w:rPr/>
      </w:pPr>
      <w:r>
        <w:rPr>
          <w:b/>
        </w:rPr>
        <w:t xml:space="preserve">Stability and Restoration Tests: </w:t>
      </w:r>
      <w:r>
        <w:rPr/>
        <w:t>Verifying the controller's ability to maintain stable voltage and frequency during islanded operation under various load and generation conditions, including black start capability.</w:t>
      </w:r>
    </w:p>
    <w:p>
      <w:pPr>
        <w:pStyle w:val="ListBullet"/>
        <w:numPr>
          <w:ilvl w:val="0"/>
          <w:numId w:val="1"/>
        </w:numPr>
        <w:rPr/>
      </w:pPr>
      <w:r>
        <w:rPr>
          <w:b/>
        </w:rPr>
        <w:t xml:space="preserve">Synchronization Tests: </w:t>
      </w:r>
      <w:r>
        <w:rPr/>
        <w:t>Explicitly checking the controller's ability to perform active synchronization and meet strict voltage, frequency, and phase angle matching requirements before re-paralleling with the grid.</w:t>
      </w:r>
    </w:p>
    <w:p>
      <w:pPr>
        <w:pStyle w:val="ListBullet"/>
        <w:numPr>
          <w:ilvl w:val="0"/>
          <w:numId w:val="1"/>
        </w:numPr>
        <w:rPr/>
      </w:pPr>
      <w:r>
        <w:rPr>
          <w:b/>
        </w:rPr>
        <w:t xml:space="preserve">Disturbance Response Tests: </w:t>
      </w:r>
      <w:r>
        <w:rPr/>
        <w:t>Evaluating how the controller manages DERs and loads during internal disturbances, such as the sudden loss of a large generator or significant step change in load while islanded.</w:t>
      </w:r>
    </w:p>
    <w:p>
      <w:pPr>
        <w:pStyle w:val="ListBullet"/>
        <w:numPr>
          <w:ilvl w:val="0"/>
          <w:numId w:val="1"/>
        </w:numPr>
        <w:rPr/>
      </w:pPr>
      <w:r>
        <w:rPr>
          <w:b/>
        </w:rPr>
        <w:t xml:space="preserve">Abnormal Conditions Tests: </w:t>
      </w:r>
      <w:r>
        <w:rPr/>
        <w:t>Assessing controller behavior under degraded conditions, such as communication link failures to key assets or compromised sensor data.</w:t>
      </w:r>
    </w:p>
    <w:p>
      <w:pPr>
        <w:pStyle w:val="Heading2"/>
        <w:rPr/>
      </w:pPr>
      <w:bookmarkStart w:id="10" w:name="__RefHeading___Toc3069_3356913938"/>
      <w:bookmarkEnd w:id="10"/>
      <w:r>
        <w:rPr/>
        <w:t>1.3  EMS Integration, Communications, and CHIL Validation</w:t>
      </w:r>
    </w:p>
    <w:p>
      <w:pPr>
        <w:pStyle w:val="Normal"/>
        <w:rPr/>
      </w:pPr>
      <w:r>
        <w:rPr/>
        <w:t>IEEE 2030.7 promotes a modular architecture where the Microgrid Controller (or Energy Management System – EMS) communicates with asset-level controllers. While the standard does not mandate a single protocol, it aligns with IEC 61850 (DER data models), DNP3, and IEEE 2030.5. A compliant controller must demonstrate the ability to integrate with and dispatch a heterogeneous mix of DERs through these standard interfaces.</w:t>
      </w:r>
    </w:p>
    <w:p>
      <w:pPr>
        <w:pStyle w:val="Normal"/>
        <w:rPr/>
      </w:pPr>
      <w:r>
        <w:rPr/>
        <w:t>Control Hardware-in-the-Loop (CHIL) and Power Hardware-in-the-Loop (PHIL) validation are considered best practices for de-risking complex deployments. CHIL involves connecting the physical MGC to a real-time digital simulator (e.g., OPAL-RT or RTDS Technologies) that models the microgrid's power system. This allows exhaustive, automated testing against thousands of scenarios—including high-risk events impractical to test on-site. This methodology is endorsed by NREL and is a core practice at leading research institutions.</w:t>
      </w:r>
    </w:p>
    <w:p>
      <w:pPr>
        <w:pStyle w:val="Heading2"/>
        <w:rPr/>
      </w:pPr>
      <w:bookmarkStart w:id="11" w:name="__RefHeading___Toc3071_3356913938"/>
      <w:bookmarkEnd w:id="11"/>
      <w:r>
        <w:rPr/>
        <w:t>1.4  IEEE 2030.7/2030.8 Requirements Summary Matrix</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340"/>
        <w:gridCol w:w="2340"/>
        <w:gridCol w:w="2340"/>
        <w:gridCol w:w="2340"/>
      </w:tblGrid>
      <w:tr>
        <w:trPr/>
        <w:tc>
          <w:tcPr>
            <w:tcW w:w="2340"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20"/>
                <w:szCs w:val="22"/>
                <w:lang w:val="en-US" w:eastAsia="en-US" w:bidi="ar-SA"/>
              </w:rPr>
              <w:t>Function / Test Area</w:t>
            </w:r>
          </w:p>
        </w:tc>
        <w:tc>
          <w:tcPr>
            <w:tcW w:w="2340"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20"/>
                <w:szCs w:val="22"/>
                <w:lang w:val="en-US" w:eastAsia="en-US" w:bidi="ar-SA"/>
              </w:rPr>
              <w:t>IEEE 2030.7 Requirement</w:t>
            </w:r>
          </w:p>
        </w:tc>
        <w:tc>
          <w:tcPr>
            <w:tcW w:w="2340"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20"/>
                <w:szCs w:val="22"/>
                <w:lang w:val="en-US" w:eastAsia="en-US" w:bidi="ar-SA"/>
              </w:rPr>
              <w:t>IEEE 2030.8 Test Procedure</w:t>
            </w:r>
          </w:p>
        </w:tc>
        <w:tc>
          <w:tcPr>
            <w:tcW w:w="2340"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20"/>
                <w:szCs w:val="22"/>
                <w:lang w:val="en-US" w:eastAsia="en-US" w:bidi="ar-SA"/>
              </w:rPr>
              <w:t>Delta Compliance Action</w:t>
            </w:r>
          </w:p>
        </w:tc>
      </w:tr>
      <w:tr>
        <w:trPr/>
        <w:tc>
          <w:tcPr>
            <w:tcW w:w="234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Planned Islanding</w:t>
            </w:r>
          </w:p>
        </w:tc>
        <w:tc>
          <w:tcPr>
            <w:tcW w:w="234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Orderly disconnection with load/gen balance management</w:t>
            </w:r>
          </w:p>
        </w:tc>
        <w:tc>
          <w:tcPr>
            <w:tcW w:w="234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Mode transition test: planned separation sequence</w:t>
            </w:r>
          </w:p>
        </w:tc>
        <w:tc>
          <w:tcPr>
            <w:tcW w:w="234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Implement pre-islanding ramp logic; test against CHIL model</w:t>
            </w:r>
          </w:p>
        </w:tc>
      </w:tr>
      <w:tr>
        <w:trPr/>
        <w:tc>
          <w:tcPr>
            <w:tcW w:w="234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Unplanned Islanding (UPI)</w:t>
            </w:r>
          </w:p>
        </w:tc>
        <w:tc>
          <w:tcPr>
            <w:tcW w:w="234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Detect island within 2 seconds; stabilize V/f</w:t>
            </w:r>
          </w:p>
        </w:tc>
        <w:tc>
          <w:tcPr>
            <w:tcW w:w="234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Mode transition: fault-induced island; measure trip time, V/f recovery</w:t>
            </w:r>
          </w:p>
        </w:tc>
        <w:tc>
          <w:tcPr>
            <w:tcW w:w="234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Tune island detection; validate &lt;2 sec response; log oscillography</w:t>
            </w:r>
          </w:p>
        </w:tc>
      </w:tr>
      <w:tr>
        <w:trPr/>
        <w:tc>
          <w:tcPr>
            <w:tcW w:w="234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Resynchronization</w:t>
            </w:r>
          </w:p>
        </w:tc>
        <w:tc>
          <w:tcPr>
            <w:tcW w:w="234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Active sync: ΔV &lt;5%, Δf &lt;0.1 Hz, Δθ &lt;10°</w:t>
            </w:r>
          </w:p>
        </w:tc>
        <w:tc>
          <w:tcPr>
            <w:tcW w:w="234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Synchronization test: measure closure parameters</w:t>
            </w:r>
          </w:p>
        </w:tc>
        <w:tc>
          <w:tcPr>
            <w:tcW w:w="234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Implement check-sync relay interface; document tolerance compliance</w:t>
            </w:r>
          </w:p>
        </w:tc>
      </w:tr>
      <w:tr>
        <w:trPr/>
        <w:tc>
          <w:tcPr>
            <w:tcW w:w="234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Black Start</w:t>
            </w:r>
          </w:p>
        </w:tc>
        <w:tc>
          <w:tcPr>
            <w:tcW w:w="234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Establish grid-forming source; sequential load restoration</w:t>
            </w:r>
          </w:p>
        </w:tc>
        <w:tc>
          <w:tcPr>
            <w:tcW w:w="234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Stability/restoration: de-energized start sequence</w:t>
            </w:r>
          </w:p>
        </w:tc>
        <w:tc>
          <w:tcPr>
            <w:tcW w:w="234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Define black-start asset priority; program sequential restoration logic</w:t>
            </w:r>
          </w:p>
        </w:tc>
      </w:tr>
      <w:tr>
        <w:trPr/>
        <w:tc>
          <w:tcPr>
            <w:tcW w:w="234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Dispatch – Grid Connected</w:t>
            </w:r>
          </w:p>
        </w:tc>
        <w:tc>
          <w:tcPr>
            <w:tcW w:w="234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Optimize asset set points per economic/operational objectives</w:t>
            </w:r>
          </w:p>
        </w:tc>
        <w:tc>
          <w:tcPr>
            <w:tcW w:w="234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Disturbance response: step load changes, generation loss</w:t>
            </w:r>
          </w:p>
        </w:tc>
        <w:tc>
          <w:tcPr>
            <w:tcW w:w="234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Validate dispatch algorithms; test ramp rate compliance</w:t>
            </w:r>
          </w:p>
        </w:tc>
      </w:tr>
      <w:tr>
        <w:trPr/>
        <w:tc>
          <w:tcPr>
            <w:tcW w:w="234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Dispatch – Islanded</w:t>
            </w:r>
          </w:p>
        </w:tc>
        <w:tc>
          <w:tcPr>
            <w:tcW w:w="234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Maintain V/f stability; balance load and generation</w:t>
            </w:r>
          </w:p>
        </w:tc>
        <w:tc>
          <w:tcPr>
            <w:tcW w:w="234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Load step change; island stability under disturbances</w:t>
            </w:r>
          </w:p>
        </w:tc>
        <w:tc>
          <w:tcPr>
            <w:tcW w:w="234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Tune droop/isochronous control; test largest load pickup/drop</w:t>
            </w:r>
          </w:p>
        </w:tc>
      </w:tr>
      <w:tr>
        <w:trPr/>
        <w:tc>
          <w:tcPr>
            <w:tcW w:w="234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SCADA / EMS Integration</w:t>
            </w:r>
          </w:p>
        </w:tc>
        <w:tc>
          <w:tcPr>
            <w:tcW w:w="234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Communicate via standard protocols (DNP3, IEC 61850)</w:t>
            </w:r>
          </w:p>
        </w:tc>
        <w:tc>
          <w:tcPr>
            <w:tcW w:w="234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Abnormal conditions: communications failure response</w:t>
            </w:r>
          </w:p>
        </w:tc>
        <w:tc>
          <w:tcPr>
            <w:tcW w:w="234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Implement DNP3 / IEC 61850 interface; test failsafe behaviors</w:t>
            </w:r>
          </w:p>
        </w:tc>
      </w:tr>
      <w:tr>
        <w:trPr/>
        <w:tc>
          <w:tcPr>
            <w:tcW w:w="234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Voltage Ride-Through</w:t>
            </w:r>
          </w:p>
        </w:tc>
        <w:tc>
          <w:tcPr>
            <w:tcW w:w="234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Comply with IEEE 1547-2018 Category II/III</w:t>
            </w:r>
          </w:p>
        </w:tc>
        <w:tc>
          <w:tcPr>
            <w:tcW w:w="234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VRT test: simulate voltage sag/swell profiles</w:t>
            </w:r>
          </w:p>
        </w:tc>
        <w:tc>
          <w:tcPr>
            <w:tcW w:w="234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Configure ride-through curves to utility spec; obtain UL 1741 SB</w:t>
            </w:r>
          </w:p>
        </w:tc>
      </w:tr>
      <w:tr>
        <w:trPr/>
        <w:tc>
          <w:tcPr>
            <w:tcW w:w="234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Volt-VAR Support</w:t>
            </w:r>
          </w:p>
        </w:tc>
        <w:tc>
          <w:tcPr>
            <w:tcW w:w="234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Reactive power response per utility-specified Q(V) curve</w:t>
            </w:r>
          </w:p>
        </w:tc>
        <w:tc>
          <w:tcPr>
            <w:tcW w:w="234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Dynamic voltage support: measure VAR response accuracy</w:t>
            </w:r>
          </w:p>
        </w:tc>
        <w:tc>
          <w:tcPr>
            <w:tcW w:w="2340" w:type="dxa"/>
            <w:tcBorders/>
          </w:tcPr>
          <w:p>
            <w:pPr>
              <w:pStyle w:val="Normal"/>
              <w:widowControl/>
              <w:suppressAutoHyphens w:val="true"/>
              <w:spacing w:before="0" w:after="60"/>
              <w:jc w:val="start"/>
              <w:rPr>
                <w:rFonts w:eastAsia="ＭＳ 明朝" w:cs=""/>
                <w:kern w:val="0"/>
                <w:szCs w:val="22"/>
                <w:lang w:val="en-US" w:eastAsia="en-US" w:bidi="ar-SA"/>
              </w:rPr>
            </w:pPr>
            <w:r>
              <w:rPr>
                <w:rFonts w:eastAsia="ＭＳ 明朝" w:cs=""/>
                <w:kern w:val="0"/>
                <w:szCs w:val="22"/>
                <w:lang w:val="en-US" w:eastAsia="en-US" w:bidi="ar-SA"/>
              </w:rPr>
              <w:t>Implement configurable Q(V) curves; validate response time</w:t>
            </w:r>
          </w:p>
        </w:tc>
      </w:tr>
    </w:tbl>
    <w:p>
      <w:pPr>
        <w:pStyle w:val="Heading1"/>
        <w:rPr/>
      </w:pPr>
      <w:r>
        <w:br w:type="page"/>
      </w:r>
      <w:bookmarkStart w:id="12" w:name="__RefHeading___Toc3073_3356913938"/>
      <w:bookmarkEnd w:id="12"/>
      <w:r>
        <w:rPr/>
        <w:t>Section 2: Regional Interconnection Rules Mapping</w:t>
      </w:r>
    </w:p>
    <w:p>
      <w:pPr>
        <w:pStyle w:val="Normal"/>
        <w:rPr/>
      </w:pPr>
      <w:r>
        <w:rPr/>
        <w:t>Interconnecting a microgrid requires navigating the technical requirements of not only the local utility but also the Regional Transmission Organization (RTO) or Independent System Operator (ISO). These entities are primarily concerned with the impact of distributed resources on Bulk Electric System (BES) reliability. A central component of their requirements is the adoption and enforcement of IEEE 1547-2018, the foundational standard for interconnection and interoperability of DERs.</w:t>
      </w:r>
    </w:p>
    <w:p>
      <w:pPr>
        <w:pStyle w:val="Heading2"/>
        <w:rPr/>
      </w:pPr>
      <w:bookmarkStart w:id="13" w:name="__RefHeading___Toc3075_3356913938"/>
      <w:bookmarkEnd w:id="13"/>
      <w:r>
        <w:rPr/>
        <w:t>2.1  IEEE 1547-2018: The Foundational Standard</w:t>
      </w:r>
    </w:p>
    <w:p>
      <w:pPr>
        <w:pStyle w:val="Normal"/>
        <w:rPr/>
      </w:pPr>
      <w:r>
        <w:rPr/>
        <w:t>Unlike its 2003 predecessor—which generally required DERs to trip offline during grid disturbances—IEEE 1547-2018 mandates that DERs possess advanced 'grid support' capabilities. It requires them to ride through voltage and frequency deviations and, in many cases, actively support the grid by providing voltage regulation via reactive power and frequency response. This shift from a 'must trip' to a 'must support' philosophy is critical for maintaining grid stability as DER penetration increases.</w:t>
      </w:r>
    </w:p>
    <w:p>
      <w:pPr>
        <w:pStyle w:val="Normal"/>
        <w:rPr/>
      </w:pPr>
      <w:r>
        <w:rPr/>
        <w:t>The standard defines three performance categories (I, II, and III) with progressively advanced capabilities. The authority governing interconnection—typically the state Public Utility Commission (PUC) or the utility—specifies which category is required. Compliance is generally verified via UL 1741 Supplement B (SB) certification for inverter-based equipment.</w:t>
      </w:r>
    </w:p>
    <w:p>
      <w:pPr>
        <w:pStyle w:val="Heading2"/>
        <w:rPr/>
      </w:pPr>
      <w:bookmarkStart w:id="14" w:name="__RefHeading___Toc3077_3356913938"/>
      <w:bookmarkEnd w:id="14"/>
      <w:r>
        <w:rPr/>
        <w:t>2.2  PJM Interconnection</w:t>
      </w:r>
    </w:p>
    <w:p>
      <w:pPr>
        <w:pStyle w:val="Normal"/>
        <w:rPr/>
      </w:pPr>
      <w:r>
        <w:rPr/>
        <w:t>PJM has actively worked to establish a predictable, PJM-wide approach to implementing IEEE 1547-2018. Their technical guidance covers both retail DER interconnections and wholesale DERs interconnecting under FERC jurisdiction. PJM Manual 07 (Protection Standards) and Manual 14G (Generation Interconnection Requests) now reference IEEE 1547-2018.</w:t>
      </w:r>
    </w:p>
    <w:p>
      <w:pPr>
        <w:pStyle w:val="Normal"/>
        <w:rPr/>
      </w:pPr>
      <w:r>
        <w:rPr/>
        <w:t>A key concern for PJM is aggregate DER tripping during transmission-level faults. Their guidance emphasizes mandatory use of voltage and frequency ride-through capabilities. Utilities within PJM may require Direct Transfer Trip (DTT) if local load-to-generation ratios are low, ensuring the DER is disconnected for faults on the transmission system that local protection may not detect.</w:t>
      </w:r>
    </w:p>
    <w:p>
      <w:pPr>
        <w:pStyle w:val="Heading2"/>
        <w:rPr/>
      </w:pPr>
      <w:bookmarkStart w:id="15" w:name="__RefHeading___Toc3079_3356913938"/>
      <w:bookmarkEnd w:id="15"/>
      <w:r>
        <w:rPr/>
        <w:t>2.3  New York ISO (NYISO)</w:t>
      </w:r>
    </w:p>
    <w:p>
      <w:pPr>
        <w:pStyle w:val="Normal"/>
        <w:rPr/>
      </w:pPr>
      <w:r>
        <w:rPr/>
        <w:t>New York has been proactive in its adoption, driven by the NY Public Service Commission (PSC) and the state's Joint Utilities. The NY Standardized Interconnection Requirements (SIR) mandates that all DER projects with applications submitted on or after January 1, 2023 must comply with IEEE 1547-2018. The state has published specific 'Default IEEE 1547-2018 Setting Requirements' that are mandatory unless a utility provides written approval for alternatives.</w:t>
      </w:r>
    </w:p>
    <w:p>
      <w:pPr>
        <w:pStyle w:val="Normal"/>
        <w:rPr/>
      </w:pPr>
      <w:r>
        <w:rPr/>
        <w:t>NYISO prescriptive requirements include:</w:t>
      </w:r>
    </w:p>
    <w:p>
      <w:pPr>
        <w:pStyle w:val="ListBullet"/>
        <w:numPr>
          <w:ilvl w:val="0"/>
          <w:numId w:val="1"/>
        </w:numPr>
        <w:ind w:hanging="360" w:start="360"/>
        <w:rPr/>
      </w:pPr>
      <w:r>
        <w:rPr/>
        <w:t>Strict trip times for voltage/frequency excursions (e.g., 0.16-second clearing at 1.20 p.u. overvoltage)</w:t>
      </w:r>
    </w:p>
    <w:p>
      <w:pPr>
        <w:pStyle w:val="ListBullet"/>
        <w:numPr>
          <w:ilvl w:val="0"/>
          <w:numId w:val="1"/>
        </w:numPr>
        <w:ind w:hanging="360" w:start="360"/>
        <w:rPr/>
      </w:pPr>
      <w:r>
        <w:rPr/>
        <w:t>Volt/VAR and frequency-droop functions must be enabled and configured to the utility-required profile</w:t>
      </w:r>
    </w:p>
    <w:p>
      <w:pPr>
        <w:pStyle w:val="ListBullet"/>
        <w:numPr>
          <w:ilvl w:val="0"/>
          <w:numId w:val="1"/>
        </w:numPr>
        <w:ind w:hanging="360" w:start="360"/>
        <w:rPr/>
      </w:pPr>
      <w:r>
        <w:rPr/>
        <w:t>Unintentional islanding detection must occur within 2 seconds</w:t>
      </w:r>
    </w:p>
    <w:p>
      <w:pPr>
        <w:pStyle w:val="ListBullet"/>
        <w:numPr>
          <w:ilvl w:val="0"/>
          <w:numId w:val="1"/>
        </w:numPr>
        <w:ind w:hanging="360" w:start="360"/>
        <w:rPr/>
      </w:pPr>
      <w:r>
        <w:rPr/>
        <w:t>UL 1741-SB certification required for all inverter-based DERs</w:t>
      </w:r>
    </w:p>
    <w:p>
      <w:pPr>
        <w:pStyle w:val="Heading2"/>
        <w:rPr/>
      </w:pPr>
      <w:bookmarkStart w:id="16" w:name="__RefHeading___Toc3081_3356913938"/>
      <w:bookmarkEnd w:id="16"/>
      <w:r>
        <w:rPr/>
        <w:t>2.4  ISO New England (ISO-NE)</w:t>
      </w:r>
    </w:p>
    <w:p>
      <w:pPr>
        <w:pStyle w:val="Normal"/>
        <w:rPr/>
      </w:pPr>
      <w:r>
        <w:rPr/>
        <w:t>ISO-NE has been a leader in requiring advanced inverter capabilities. Projects interconnecting on or after January 1, 2019 have been required to comply with the 2018 Source Requirements Document (SRD), which aligns closely with IEEE 1547-2018. ISO-NE mandates compliance with Abnormal Performance Category II, requiring specific ride-through, momentary cessation, and reactive current injection capabilities during voltage events. UL 1741 SA certified inverters are required.</w:t>
      </w:r>
    </w:p>
    <w:p>
      <w:pPr>
        <w:pStyle w:val="Normal"/>
        <w:rPr/>
      </w:pPr>
      <w:r>
        <w:rPr/>
        <w:t>ISO-NE enforces strict limits on total DER that can trip during a contingency (e.g., 1,200 MW loss-of-source limit) to maintain system reliability, reinforcing the need for robust ride-through capabilities in all interconnected equipment.</w:t>
      </w:r>
    </w:p>
    <w:p>
      <w:pPr>
        <w:pStyle w:val="Heading2"/>
        <w:rPr/>
      </w:pPr>
      <w:bookmarkStart w:id="17" w:name="__RefHeading___Toc3083_3356913938"/>
      <w:bookmarkEnd w:id="17"/>
      <w:r>
        <w:rPr/>
        <w:t>2.5  MISO-East</w:t>
      </w:r>
    </w:p>
    <w:p>
      <w:pPr>
        <w:pStyle w:val="Normal"/>
        <w:rPr/>
      </w:pPr>
      <w:r>
        <w:rPr/>
        <w:t>MISO-East, covering parts of Michigan and Indiana, is transitioning to IEEE 1547-2018 requirements. The timeline and specific settings are dictated by state PUCs and utilities. Requirements are evolving towards full IEEE 1547-2018 alignment and developers must consult specific state commission dockets and utility technical manuals for current requirements. Hosting capacity analysis is increasingly used to determine interconnection feasibility.</w:t>
      </w:r>
    </w:p>
    <w:p>
      <w:pPr>
        <w:pStyle w:val="Heading2"/>
        <w:rPr/>
      </w:pPr>
      <w:bookmarkStart w:id="18" w:name="__RefHeading___Toc3085_3356913938"/>
      <w:bookmarkEnd w:id="18"/>
      <w:r>
        <w:rPr/>
        <w:t>2.6  East Coast IEEE 1547-2018 Adoption and RTO/ISO Requirements Matrix</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340"/>
        <w:gridCol w:w="2340"/>
        <w:gridCol w:w="2340"/>
        <w:gridCol w:w="2340"/>
      </w:tblGrid>
      <w:tr>
        <w:trPr/>
        <w:tc>
          <w:tcPr>
            <w:tcW w:w="2340"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RTO/ISO Territory</w:t>
            </w:r>
          </w:p>
        </w:tc>
        <w:tc>
          <w:tcPr>
            <w:tcW w:w="2340"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Governing Documents</w:t>
            </w:r>
          </w:p>
        </w:tc>
        <w:tc>
          <w:tcPr>
            <w:tcW w:w="2340"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IEEE 1547-2018 Adoption Status</w:t>
            </w:r>
          </w:p>
        </w:tc>
        <w:tc>
          <w:tcPr>
            <w:tcW w:w="2340"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Key Technical Mandates</w:t>
            </w:r>
          </w:p>
        </w:tc>
      </w:tr>
      <w:tr>
        <w:trPr/>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NYISO</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NY PSC Standardized Interconnection Requirements (SIR)</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kern w:val="0"/>
                <w:szCs w:val="22"/>
                <w:lang w:val="en-US" w:eastAsia="en-US" w:bidi="ar-SA"/>
              </w:rPr>
              <w:t>Mandatory for applications post-Jan 1, 2023</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Prescriptive Default Setting Requirements</w:t>
              <w:br/>
              <w:t>• Mandatory Volt/VAR and frequency-droop</w:t>
              <w:br/>
              <w:t>• 2-second island detection</w:t>
              <w:br/>
              <w:t>• UL 1741-SB certification</w:t>
              <w:br/>
              <w:t>• Specific trip times for V/f excursions</w:t>
            </w:r>
          </w:p>
        </w:tc>
      </w:tr>
      <w:tr>
        <w:trPr/>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ISO-NE</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2018 Source Requirements Document (SRD); State PUC Rules (MA, CT)</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kern w:val="0"/>
                <w:szCs w:val="22"/>
                <w:lang w:val="en-US" w:eastAsia="en-US" w:bidi="ar-SA"/>
              </w:rPr>
              <w:t>Mandatory for applications post-Jan 1, 2019</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Abnormal Performance Category II compliance</w:t>
              <w:br/>
              <w:t>• Ride-through with momentary cessation</w:t>
              <w:br/>
              <w:t>• Reactive current injection during voltage events</w:t>
              <w:br/>
              <w:t>• Volt-Var Q(V) functionality</w:t>
              <w:br/>
              <w:t>• UL 1741 SA certification</w:t>
            </w:r>
          </w:p>
        </w:tc>
      </w:tr>
      <w:tr>
        <w:trPr/>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PJM</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PJM Manual 07, Manual 14G; State PUC Rules (NJ, PA, DE, MD)</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kern w:val="0"/>
                <w:szCs w:val="22"/>
                <w:lang w:val="en-US" w:eastAsia="en-US" w:bidi="ar-SA"/>
              </w:rPr>
              <w:t>Adopted as Technical Guidance; states set implementation dates</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Voltage and frequency ride-through to prevent aggregate tripping</w:t>
              <w:br/>
              <w:t>• Direct Transfer Trip (DTT) possible for reliability</w:t>
              <w:br/>
              <w:t>• Grounding configuration requirements</w:t>
              <w:br/>
              <w:t>• Coordination with utility recloser/fuse schemes</w:t>
            </w:r>
          </w:p>
        </w:tc>
      </w:tr>
      <w:tr>
        <w:trPr/>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MISO-East</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State PUC Interconnection Rules (MI, IN); MISO Tariff</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kern w:val="0"/>
                <w:szCs w:val="22"/>
                <w:lang w:val="en-US" w:eastAsia="en-US" w:bidi="ar-SA"/>
              </w:rPr>
              <w:t>In Progress; varies by state and utility</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Requirements evolving toward IEEE 1547-2018 alignment</w:t>
              <w:br/>
              <w:t>• Consult state commission dockets for current rules</w:t>
              <w:br/>
              <w:t>• Hosting capacity analysis increasingly required</w:t>
            </w:r>
          </w:p>
        </w:tc>
      </w:tr>
    </w:tbl>
    <w:p>
      <w:pPr>
        <w:pStyle w:val="Heading1"/>
        <w:rPr/>
      </w:pPr>
      <w:r>
        <w:br w:type="page"/>
      </w:r>
      <w:bookmarkStart w:id="19" w:name="__RefHeading___Toc3087_3356913938"/>
      <w:bookmarkEnd w:id="19"/>
      <w:r>
        <w:rPr/>
        <w:t>Section 3: Utility-Specific Microgrid Requirements</w:t>
      </w:r>
    </w:p>
    <w:p>
      <w:pPr>
        <w:pStyle w:val="Normal"/>
        <w:rPr/>
      </w:pPr>
      <w:r>
        <w:rPr/>
        <w:t>While regional standards set the high-level framework, the ultimate arbiters of microgrid interconnection are the local distribution utilities. Successful integration requires a deep understanding of their specific engineering specifications, operational practices, and acceptance criteria. This section provides detailed requirements for ten key East Coast utilities.</w:t>
      </w:r>
    </w:p>
    <w:p>
      <w:pPr>
        <w:pStyle w:val="Normal"/>
        <w:rPr/>
      </w:pPr>
      <w:r>
        <w:rPr/>
        <w:t>Analysis reveals several common themes: a mandatory, externally accessible, and lockable disconnect switch is universal; all utilities require detailed engineering studies (e.g., CESIR) to assess system impact; and for systems ≥ 500 kW, some form of remote visibility and control is required. However, specific implementation details diverge dramatically across utilities.</w:t>
      </w:r>
    </w:p>
    <w:p>
      <w:pPr>
        <w:pStyle w:val="Heading2"/>
        <w:rPr/>
      </w:pPr>
      <w:bookmarkStart w:id="20" w:name="__RefHeading___Toc3089_3356913938"/>
      <w:bookmarkEnd w:id="20"/>
      <w:r>
        <w:rPr/>
        <w:t>3.1  Con Edison (ConEd) — New York City</w:t>
      </w:r>
    </w:p>
    <w:p>
      <w:pPr>
        <w:pStyle w:val="Normal"/>
        <w:rPr/>
      </w:pPr>
      <w:r>
        <w:rPr>
          <w:b/>
        </w:rPr>
        <w:t xml:space="preserve">Controlling Documents: </w:t>
      </w:r>
      <w:r>
        <w:rPr/>
        <w:t>EO-2161 (microgrids), EO-2115 (general DER)</w:t>
      </w:r>
    </w:p>
    <w:p>
      <w:pPr>
        <w:pStyle w:val="Normal"/>
        <w:ind w:start="360"/>
        <w:rPr/>
      </w:pPr>
      <w:r>
        <w:rPr>
          <w:b/>
          <w:color w:val="00467F"/>
        </w:rPr>
        <w:t xml:space="preserve">Protection: </w:t>
      </w:r>
      <w:r>
        <w:rPr/>
        <w:t>ConEd's requirements are among the most stringent, particularly for systems on their dense urban secondary network grids. Due to the risk of back-feeding network protectors, exporting to a network grid requires Communications Aided Tripping (CAT) schemes with high-speed, reliable communication links. A utility-grade supervised overvoltage relay with a dedicated communication link is mandatory for voltage regulation via inverters.</w:t>
      </w:r>
    </w:p>
    <w:p>
      <w:pPr>
        <w:pStyle w:val="Normal"/>
        <w:ind w:start="360"/>
        <w:rPr/>
      </w:pPr>
      <w:r>
        <w:rPr>
          <w:b/>
          <w:color w:val="00467F"/>
        </w:rPr>
        <w:t xml:space="preserve">Telemetry &amp; SCADA: </w:t>
      </w:r>
      <w:r>
        <w:rPr/>
        <w:t>For CAT applications, SCADA is mandatory. The utility must be able to monitor the DER and issue remote trip commands. This requires a direct SCADA interface to ConEd's control center with defined data points and latency requirements.</w:t>
      </w:r>
    </w:p>
    <w:p>
      <w:pPr>
        <w:pStyle w:val="Normal"/>
        <w:ind w:start="360"/>
        <w:rPr/>
      </w:pPr>
      <w:r>
        <w:rPr>
          <w:b/>
          <w:color w:val="00467F"/>
        </w:rPr>
        <w:t xml:space="preserve">Controller Acceptance: </w:t>
      </w:r>
      <w:r>
        <w:rPr/>
        <w:t>The microgrid controller must integrate with CAT protection schemes, respond to SCADA commands, and manage generation to prevent export unless explicitly permitted. The approval process requires extensive design reviews and witnessed testing. MV metering secondary wiring is limited to 25 feet (#10 AWG stranded copper, no splices).</w:t>
      </w:r>
    </w:p>
    <w:p>
      <w:pPr>
        <w:pStyle w:val="Heading2"/>
        <w:rPr/>
      </w:pPr>
      <w:bookmarkStart w:id="21" w:name="__RefHeading___Toc3091_3356913938"/>
      <w:bookmarkEnd w:id="21"/>
      <w:r>
        <w:rPr/>
        <w:t>3.2  National Grid (NY, MA, RI)</w:t>
      </w:r>
    </w:p>
    <w:p>
      <w:pPr>
        <w:pStyle w:val="Normal"/>
        <w:rPr/>
      </w:pPr>
      <w:r>
        <w:rPr>
          <w:b/>
        </w:rPr>
        <w:t xml:space="preserve">Controlling Documents: </w:t>
      </w:r>
      <w:r>
        <w:rPr/>
        <w:t>ESB 756; NY SIR; MA M.D.P.U. No. 1468</w:t>
      </w:r>
    </w:p>
    <w:p>
      <w:pPr>
        <w:pStyle w:val="Normal"/>
        <w:ind w:start="360"/>
        <w:rPr/>
      </w:pPr>
      <w:r>
        <w:rPr>
          <w:b/>
          <w:color w:val="00467F"/>
        </w:rPr>
        <w:t xml:space="preserve">Protection: </w:t>
      </w:r>
      <w:r>
        <w:rPr/>
        <w:t>Protection requirements, relay settings, and the need for transfer trip are determined on a case-by-case basis through the interconnection study. The customer is responsible for installing protective relays that meet National Grid standards; settings cannot be altered without written consent.</w:t>
      </w:r>
    </w:p>
    <w:p>
      <w:pPr>
        <w:pStyle w:val="Normal"/>
        <w:ind w:start="360"/>
        <w:rPr/>
      </w:pPr>
      <w:r>
        <w:rPr>
          <w:b/>
          <w:color w:val="00467F"/>
        </w:rPr>
        <w:t xml:space="preserve">Telemetry &amp; SCADA: </w:t>
      </w:r>
      <w:r>
        <w:rPr/>
        <w:t>Specific requirements are determined by facility size and grid impact. For microgrids, IEEE 1547.4 (Guide for DER Island Systems) is a referenced standard. Additional monitoring infrastructure may be required to maintain reliability.</w:t>
      </w:r>
    </w:p>
    <w:p>
      <w:pPr>
        <w:pStyle w:val="Normal"/>
        <w:ind w:start="360"/>
        <w:rPr/>
      </w:pPr>
      <w:r>
        <w:rPr>
          <w:b/>
          <w:color w:val="00467F"/>
        </w:rPr>
        <w:t xml:space="preserve">Controller Acceptance: </w:t>
      </w:r>
      <w:r>
        <w:rPr/>
        <w:t>Acceptance is contingent on passing the interconnection study and witnessed testing. The controller must demonstrate coordination with utility-specified relay settings. Meter relay settings subject to National Grid written approval.</w:t>
      </w:r>
    </w:p>
    <w:p>
      <w:pPr>
        <w:pStyle w:val="Heading2"/>
        <w:rPr/>
      </w:pPr>
      <w:bookmarkStart w:id="22" w:name="__RefHeading___Toc3093_3356913938"/>
      <w:bookmarkEnd w:id="22"/>
      <w:r>
        <w:rPr/>
        <w:t>3.3  Eversource (CT, MA, NH)</w:t>
      </w:r>
    </w:p>
    <w:p>
      <w:pPr>
        <w:pStyle w:val="Normal"/>
        <w:rPr/>
      </w:pPr>
      <w:r>
        <w:rPr>
          <w:b/>
        </w:rPr>
        <w:t xml:space="preserve">Controlling Documents: </w:t>
      </w:r>
      <w:r>
        <w:rPr/>
        <w:t>Information and Technical Requirements for the Interconnection of DER</w:t>
      </w:r>
    </w:p>
    <w:p>
      <w:pPr>
        <w:pStyle w:val="Normal"/>
        <w:ind w:start="360"/>
        <w:rPr/>
      </w:pPr>
      <w:r>
        <w:rPr>
          <w:b/>
          <w:color w:val="00467F"/>
        </w:rPr>
        <w:t xml:space="preserve">Protection: </w:t>
      </w:r>
      <w:r>
        <w:rPr/>
        <w:t>For DERs ≥ 500 kW, a Point of Interconnection (POI) recloser is required to provide coordinated fault protection and isolation. Reverse power protection settings are determined by Eversource.</w:t>
      </w:r>
    </w:p>
    <w:p>
      <w:pPr>
        <w:pStyle w:val="Normal"/>
        <w:ind w:start="360"/>
        <w:rPr/>
      </w:pPr>
      <w:r>
        <w:rPr>
          <w:b/>
          <w:color w:val="00467F"/>
        </w:rPr>
        <w:t xml:space="preserve">Telemetry &amp; SCADA: </w:t>
      </w:r>
      <w:r>
        <w:rPr/>
        <w:t>For facilities ≥ 500 kW, SCADA monitoring and control are mandatory. Required architecture: DER Gateway to Power Plant Controller (PPC) model. Eversource installs a DER Gateway at the POI communicating with customer's PPC via DNP3.</w:t>
      </w:r>
    </w:p>
    <w:p>
      <w:pPr>
        <w:pStyle w:val="Normal"/>
        <w:ind w:start="360"/>
        <w:rPr/>
      </w:pPr>
      <w:r>
        <w:rPr>
          <w:b/>
          <w:color w:val="00467F"/>
        </w:rPr>
        <w:t xml:space="preserve">Controller Acceptance: </w:t>
      </w:r>
      <w:r>
        <w:rPr/>
        <w:t>The microgrid controller must act as or interface with the customer's PPC, providing required telemetry (real/reactive power, voltage, breaker status) and accepting control commands (trip, curtail, change mode) via the DER Gateway.</w:t>
      </w:r>
    </w:p>
    <w:p>
      <w:pPr>
        <w:pStyle w:val="Heading2"/>
        <w:rPr/>
      </w:pPr>
      <w:bookmarkStart w:id="23" w:name="__RefHeading___Toc3095_3356913938"/>
      <w:bookmarkEnd w:id="23"/>
      <w:r>
        <w:rPr/>
        <w:t>3.4  Dominion Energy (VA, NC)</w:t>
      </w:r>
    </w:p>
    <w:p>
      <w:pPr>
        <w:pStyle w:val="Normal"/>
        <w:rPr/>
      </w:pPr>
      <w:r>
        <w:rPr>
          <w:b/>
        </w:rPr>
        <w:t xml:space="preserve">Controlling Documents: </w:t>
      </w:r>
      <w:r>
        <w:rPr/>
        <w:t>Interconnection Parameters for DER Manual; Facility Interconnection Requirements</w:t>
      </w:r>
    </w:p>
    <w:p>
      <w:pPr>
        <w:pStyle w:val="Normal"/>
        <w:ind w:start="360"/>
        <w:rPr/>
      </w:pPr>
      <w:r>
        <w:rPr>
          <w:b/>
          <w:color w:val="00467F"/>
        </w:rPr>
        <w:t xml:space="preserve">Protection: </w:t>
      </w:r>
      <w:r>
        <w:rPr/>
        <w:t>DTT via fiber optic or cellular is required if load-to-generation ratio is below 3:1 or the interconnection bus has high aggregate generation. The controller must integrate DTT hardware and respond within utility-specified clearing times.</w:t>
      </w:r>
    </w:p>
    <w:p>
      <w:pPr>
        <w:pStyle w:val="Normal"/>
        <w:ind w:start="360"/>
        <w:rPr/>
      </w:pPr>
      <w:r>
        <w:rPr>
          <w:b/>
          <w:color w:val="00467F"/>
        </w:rPr>
        <w:t xml:space="preserve">Telemetry &amp; SCADA: </w:t>
      </w:r>
      <w:r>
        <w:rPr/>
        <w:t>For larger distribution and all transmission-level interconnections, real-time data exchange via SCADA is required, including redundant revenue metering and operational data. Utility specifies data communication protocols for RTUs.</w:t>
      </w:r>
    </w:p>
    <w:p>
      <w:pPr>
        <w:pStyle w:val="Normal"/>
        <w:ind w:start="360"/>
        <w:rPr/>
      </w:pPr>
      <w:r>
        <w:rPr>
          <w:b/>
          <w:color w:val="00467F"/>
        </w:rPr>
        <w:t xml:space="preserve">Controller Acceptance: </w:t>
      </w:r>
      <w:r>
        <w:rPr/>
        <w:t>Controller must integrate with DTT hardware. For energy storage and microgrids, must manage ramp rates, response times, and fault current contribution per the interconnection agreement. Dominion is supportive of HIL testing for validation.</w:t>
      </w:r>
    </w:p>
    <w:p>
      <w:pPr>
        <w:pStyle w:val="Heading2"/>
        <w:rPr/>
      </w:pPr>
      <w:bookmarkStart w:id="24" w:name="__RefHeading___Toc3097_3356913938"/>
      <w:bookmarkEnd w:id="24"/>
      <w:r>
        <w:rPr/>
        <w:t>3.5  Duke Energy (NC, SC, FL)</w:t>
      </w:r>
    </w:p>
    <w:p>
      <w:pPr>
        <w:pStyle w:val="Normal"/>
        <w:rPr/>
      </w:pPr>
      <w:r>
        <w:rPr>
          <w:b/>
        </w:rPr>
        <w:t xml:space="preserve">Controlling Documents: </w:t>
      </w:r>
      <w:r>
        <w:rPr/>
        <w:t>Requirements via ISOP framework and interconnection study</w:t>
      </w:r>
    </w:p>
    <w:p>
      <w:pPr>
        <w:pStyle w:val="Normal"/>
        <w:ind w:start="360"/>
        <w:rPr/>
      </w:pPr>
      <w:r>
        <w:rPr>
          <w:b/>
          <w:color w:val="00467F"/>
        </w:rPr>
        <w:t xml:space="preserve">Protection &amp; Control: </w:t>
      </w:r>
      <w:r>
        <w:rPr/>
        <w:t>Duke employs an Integrated System and Operations Planning (ISOP) framework with detailed Grid Hosting Analysis to determine DER accommodation capacity. Requirements emerge from site-specific studies rather than a single prescriptive manual.</w:t>
      </w:r>
    </w:p>
    <w:p>
      <w:pPr>
        <w:pStyle w:val="Normal"/>
        <w:ind w:start="360"/>
        <w:rPr/>
      </w:pPr>
      <w:r>
        <w:rPr>
          <w:b/>
          <w:color w:val="00467F"/>
        </w:rPr>
        <w:t xml:space="preserve">Telemetry &amp; SCADA: </w:t>
      </w:r>
      <w:r>
        <w:rPr/>
        <w:t>Duke's own microgrid projects utilize sophisticated EMS and are monitored by a National Operations Control Center (NOC). Similar remote monitoring capabilities would be expected for third-party systems of significant size.</w:t>
      </w:r>
    </w:p>
    <w:p>
      <w:pPr>
        <w:pStyle w:val="Normal"/>
        <w:ind w:start="360"/>
        <w:rPr/>
      </w:pPr>
      <w:r>
        <w:rPr>
          <w:b/>
          <w:color w:val="00467F"/>
        </w:rPr>
        <w:t xml:space="preserve">Controller Acceptance: </w:t>
      </w:r>
      <w:r>
        <w:rPr/>
        <w:t>The controller must be flexible to meet requirements that emerge from formal interconnection study process. No single prescriptive document exists; acceptance is entirely study-dependent.</w:t>
      </w:r>
    </w:p>
    <w:p>
      <w:pPr>
        <w:pStyle w:val="Heading2"/>
        <w:rPr/>
      </w:pPr>
      <w:bookmarkStart w:id="25" w:name="__RefHeading___Toc3099_3356913938"/>
      <w:bookmarkEnd w:id="25"/>
      <w:r>
        <w:rPr/>
        <w:t>3.6  Additional Utilities: PSE&amp;G, BGE, PPL, ComEd, DTE Energy</w:t>
      </w:r>
    </w:p>
    <w:p>
      <w:pPr>
        <w:pStyle w:val="Normal"/>
        <w:rPr/>
      </w:pPr>
      <w:r>
        <w:rPr/>
        <w:t>While fully prescriptive documentation was not available for these utilities during research, their requirements can be anticipated based on their regional RTO affiliations and peer utility practices. All five are expected to follow the patterns established by their RTO mandates.</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340"/>
        <w:gridCol w:w="2340"/>
        <w:gridCol w:w="2340"/>
        <w:gridCol w:w="2340"/>
      </w:tblGrid>
      <w:tr>
        <w:trPr/>
        <w:tc>
          <w:tcPr>
            <w:tcW w:w="2340"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Utility</w:t>
            </w:r>
          </w:p>
        </w:tc>
        <w:tc>
          <w:tcPr>
            <w:tcW w:w="2340"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RTO/ISO</w:t>
            </w:r>
          </w:p>
        </w:tc>
        <w:tc>
          <w:tcPr>
            <w:tcW w:w="2340"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Key Documents</w:t>
            </w:r>
          </w:p>
        </w:tc>
        <w:tc>
          <w:tcPr>
            <w:tcW w:w="2340"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Notable Requirements</w:t>
            </w:r>
          </w:p>
        </w:tc>
      </w:tr>
      <w:tr>
        <w:trPr/>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PSE&amp;G (NJ)</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PJM</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NJ BPU Rules; Interconnection Application</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Remote trip/isolation SCADA likely ≥ 1 MW; PJM Manual 07 and 14G alignment; NJ net metering retail credit with annual LMP cash-out</w:t>
            </w:r>
          </w:p>
        </w:tc>
      </w:tr>
      <w:tr>
        <w:trPr/>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BGE (MD)</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PJM</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Maryland PSC Interconnection Rules; PJM Manuals</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IEEE 1547-2018 required; DTT possible on high-penetration feeders; ride-through emphasis per PJM guidance</w:t>
            </w:r>
          </w:p>
        </w:tc>
      </w:tr>
      <w:tr>
        <w:trPr/>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PPL (PA)</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PJM</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Pennsylvania PUC Rules; PJM Manuals 07 and 14G</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PJM-aligned ride-through requirements; protection coordination study required; grounding configuration review</w:t>
            </w:r>
          </w:p>
        </w:tc>
      </w:tr>
      <w:tr>
        <w:trPr/>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ComEd (IL)</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MISO</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Illinois Commerce Commission Rules; ComEd Interconnection Manual</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Grid modernization program; MISO and ICC alignment; detailed interconnection manuals; SCADA for larger systems</w:t>
            </w:r>
          </w:p>
        </w:tc>
      </w:tr>
      <w:tr>
        <w:trPr/>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DTE Energy (MI)</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MISO</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Michigan PSC Rules; DTE Interconnection Requirements</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MISO-governed; IEEE 1547-2018 transition in progress; MPSC oversight; hosting capacity analysis</w:t>
            </w:r>
          </w:p>
        </w:tc>
      </w:tr>
    </w:tbl>
    <w:p>
      <w:pPr>
        <w:pStyle w:val="Heading2"/>
        <w:rPr/>
      </w:pPr>
      <w:bookmarkStart w:id="26" w:name="__RefHeading___Toc3101_3356913938"/>
      <w:bookmarkEnd w:id="26"/>
      <w:r>
        <w:rPr/>
        <w:t>3.7  Utility Microgrid Controller Requirements Comparison Matrix</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872"/>
        <w:gridCol w:w="1872"/>
        <w:gridCol w:w="1872"/>
        <w:gridCol w:w="1872"/>
        <w:gridCol w:w="1872"/>
      </w:tblGrid>
      <w:tr>
        <w:trPr/>
        <w:tc>
          <w:tcPr>
            <w:tcW w:w="1872"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Utility</w:t>
            </w:r>
          </w:p>
        </w:tc>
        <w:tc>
          <w:tcPr>
            <w:tcW w:w="1872"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Key Document(s)</w:t>
            </w:r>
          </w:p>
        </w:tc>
        <w:tc>
          <w:tcPr>
            <w:tcW w:w="1872"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SCADA Mandate Threshold</w:t>
            </w:r>
          </w:p>
        </w:tc>
        <w:tc>
          <w:tcPr>
            <w:tcW w:w="1872"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Key Protection Requirement</w:t>
            </w:r>
          </w:p>
        </w:tc>
        <w:tc>
          <w:tcPr>
            <w:tcW w:w="1872"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Controller Interface Requirement</w:t>
            </w:r>
          </w:p>
        </w:tc>
      </w:tr>
      <w:tr>
        <w:trPr/>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Con Edison</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EO-2161, EO-2115</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Network-dependent</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Communications Aided Tripping (CAT) on network grids; supervised relays</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Must integrate with CAT; respond to SCADA remote trip commands</w:t>
            </w:r>
          </w:p>
        </w:tc>
      </w:tr>
      <w:tr>
        <w:trPr/>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National Grid</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ESB 756; State Tariffs</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Case-by-case (per study)</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Study-defined coordination; transfer trip possible</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Determined by study; must coordinate with utility relay settings</w:t>
            </w:r>
          </w:p>
        </w:tc>
      </w:tr>
      <w:tr>
        <w:trPr/>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Eversource</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DER Technical Requirements</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500 kW</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POI Recloser mandatory</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Must act as PPC or interface via DNP3 with Eversource DER Gateway</w:t>
            </w:r>
          </w:p>
        </w:tc>
      </w:tr>
      <w:tr>
        <w:trPr/>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Dominion Energy</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DER Parameters Manual</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Case-by-case (per study)</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DTT required if load-to-gen ratio &lt; 3:1</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Must integrate DTT hardware; provide SCADA data via RTU protocols</w:t>
            </w:r>
          </w:p>
        </w:tc>
      </w:tr>
      <w:tr>
        <w:trPr/>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Duke Energy</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ISOP Framework / Study</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Case-by-case (per study)</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Per Grid Hosting Analysis and impact studies</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Site-specific; must be flexible for study-determined requirements</w:t>
            </w:r>
          </w:p>
        </w:tc>
      </w:tr>
      <w:tr>
        <w:trPr/>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PSE&amp;G</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NJ BPU Rules</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Likely ≥ 1 MW</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Study-determined; likely remote trip for larger systems</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Likely SCADA integration for remote trip/isolation</w:t>
            </w:r>
          </w:p>
        </w:tc>
      </w:tr>
    </w:tbl>
    <w:p>
      <w:pPr>
        <w:pStyle w:val="Heading1"/>
        <w:rPr/>
      </w:pPr>
      <w:r>
        <w:br w:type="page"/>
      </w:r>
      <w:bookmarkStart w:id="27" w:name="__RefHeading___Toc3103_3356913938"/>
      <w:bookmarkEnd w:id="27"/>
      <w:r>
        <w:rPr/>
        <w:t>Section 4: Test Framework Gap Analysis</w:t>
      </w:r>
    </w:p>
    <w:p>
      <w:pPr>
        <w:pStyle w:val="Normal"/>
        <w:rPr/>
      </w:pPr>
      <w:r>
        <w:rPr/>
        <w:t>To ensure a microgrid controller will be accepted by East Coast utilities, it must not only be designed to the functional specifications of IEEE 2030.7 but also be rigorously validated against the test procedures of IEEE 2030.8. A robust testing framework is a critical risk mitigation tool, proving compliance and reducing the likelihood of costly delays during commissioning.</w:t>
      </w:r>
    </w:p>
    <w:p>
      <w:pPr>
        <w:pStyle w:val="Heading2"/>
        <w:rPr/>
      </w:pPr>
      <w:bookmarkStart w:id="28" w:name="__RefHeading___Toc3105_3356913938"/>
      <w:bookmarkEnd w:id="28"/>
      <w:r>
        <w:rPr/>
        <w:t>4.1  Recommended Test Platform: Controller Hardware-in-the-Loop (CHIL)</w:t>
      </w:r>
    </w:p>
    <w:p>
      <w:pPr>
        <w:pStyle w:val="Normal"/>
        <w:rPr/>
      </w:pPr>
      <w:r>
        <w:rPr/>
        <w:t>The CHIL platform is the cornerstone of the recommended test framework. It consists of three integrated components:</w:t>
      </w:r>
    </w:p>
    <w:p>
      <w:pPr>
        <w:pStyle w:val="ListNumber"/>
        <w:numPr>
          <w:ilvl w:val="0"/>
          <w:numId w:val="4"/>
        </w:numPr>
        <w:rPr/>
      </w:pPr>
      <w:r>
        <w:rPr>
          <w:b/>
        </w:rPr>
        <w:t xml:space="preserve">Controller Under Test (CUT): </w:t>
      </w:r>
      <w:r>
        <w:rPr/>
        <w:t>The physical Delta microgrid controller hardware.</w:t>
      </w:r>
    </w:p>
    <w:p>
      <w:pPr>
        <w:pStyle w:val="ListNumber"/>
        <w:numPr>
          <w:ilvl w:val="0"/>
          <w:numId w:val="4"/>
        </w:numPr>
        <w:rPr/>
      </w:pPr>
      <w:r>
        <w:rPr>
          <w:b/>
        </w:rPr>
        <w:t xml:space="preserve">Real-Time Digital Simulator (RTDS): </w:t>
      </w:r>
      <w:r>
        <w:rPr/>
        <w:t>A high-performance computer (e.g., OPAL-RT or RTDS Technologies) running a detailed electromagnetic transient (EMT) model of the microgrid and surrounding utility system.</w:t>
      </w:r>
    </w:p>
    <w:p>
      <w:pPr>
        <w:pStyle w:val="ListNumber"/>
        <w:numPr>
          <w:ilvl w:val="0"/>
          <w:numId w:val="4"/>
        </w:numPr>
        <w:rPr/>
      </w:pPr>
      <w:r>
        <w:rPr>
          <w:b/>
        </w:rPr>
        <w:t xml:space="preserve">Hardware Interface: </w:t>
      </w:r>
      <w:r>
        <w:rPr/>
        <w:t>Converts signals between the controller (analog/digital I/O, communication protocols) and the simulator, enabling closed-loop real-time testing.</w:t>
      </w:r>
    </w:p>
    <w:p>
      <w:pPr>
        <w:pStyle w:val="Normal"/>
        <w:rPr/>
      </w:pPr>
      <w:r>
        <w:rPr/>
        <w:t>This setup allows engineers to create virtual models of a ConEd network grid, an Eversource distribution feeder, or a Dominion substation, and test how the Delta controller responds to simulated events in real time. Virtual utility feeder models can be maintained in a library corresponding to each target utility's network topology and protection configuration.</w:t>
      </w:r>
    </w:p>
    <w:p>
      <w:pPr>
        <w:pStyle w:val="Heading2"/>
        <w:rPr/>
      </w:pPr>
      <w:bookmarkStart w:id="29" w:name="__RefHeading___Toc3107_3356913938"/>
      <w:bookmarkEnd w:id="29"/>
      <w:r>
        <w:rPr/>
        <w:t>4.2  IEEE 2030.8 Test Cases Adapted for East Coast Utilities</w:t>
      </w:r>
    </w:p>
    <w:p>
      <w:pPr>
        <w:pStyle w:val="Heading3"/>
        <w:rPr/>
      </w:pPr>
      <w:bookmarkStart w:id="30" w:name="__RefHeading___Toc3109_3356913938"/>
      <w:bookmarkEnd w:id="30"/>
      <w:r>
        <w:rPr/>
        <w:t>Test Case Group 1: Transition and Islanding Logic</w:t>
      </w:r>
    </w:p>
    <w:p>
      <w:pPr>
        <w:pStyle w:val="Normal"/>
        <w:rPr/>
      </w:pPr>
      <w:r>
        <w:rPr/>
      </w:r>
    </w:p>
    <w:p>
      <w:pPr>
        <w:pStyle w:val="Normal"/>
        <w:rPr/>
      </w:pPr>
      <w:r>
        <w:rPr>
          <w:b/>
          <w:sz w:val="22"/>
        </w:rPr>
        <w:t>Test 1.1: Unplanned Islanding (UPI) due to Utility Fault</w:t>
      </w:r>
    </w:p>
    <w:p>
      <w:pPr>
        <w:pStyle w:val="Normal"/>
        <w:ind w:start="360"/>
        <w:rPr/>
      </w:pPr>
      <w:r>
        <w:rPr>
          <w:b/>
        </w:rPr>
        <w:t xml:space="preserve">Objective: </w:t>
      </w:r>
      <w:r>
        <w:rPr/>
        <w:t>Verify compliance with IEEE 1547-2018 Clause 8.1.1 (cease to energize within 2 seconds) and controller ability to stabilize island.</w:t>
      </w:r>
    </w:p>
    <w:p>
      <w:pPr>
        <w:pStyle w:val="Normal"/>
        <w:ind w:start="360"/>
        <w:rPr/>
      </w:pPr>
      <w:r>
        <w:rPr>
          <w:b/>
        </w:rPr>
        <w:t xml:space="preserve">Procedure: </w:t>
      </w:r>
      <w:r>
        <w:rPr/>
        <w:t>Simulate three-phase fault on utility side of POI in CHIL model.</w:t>
      </w:r>
    </w:p>
    <w:p>
      <w:pPr>
        <w:pStyle w:val="Normal"/>
        <w:ind w:start="360"/>
        <w:rPr/>
      </w:pPr>
      <w:r>
        <w:rPr>
          <w:b/>
        </w:rPr>
        <w:t>Pass Criteria:</w:t>
      </w:r>
    </w:p>
    <w:p>
      <w:pPr>
        <w:pStyle w:val="ListBullet"/>
        <w:numPr>
          <w:ilvl w:val="0"/>
          <w:numId w:val="1"/>
        </w:numPr>
        <w:ind w:hanging="360" w:start="720"/>
        <w:rPr/>
      </w:pPr>
      <w:r>
        <w:rPr/>
        <w:t>Controller detects island condition and trips POI breaker within utility-specified time (&lt;100 ms)</w:t>
      </w:r>
    </w:p>
    <w:p>
      <w:pPr>
        <w:pStyle w:val="ListBullet"/>
        <w:numPr>
          <w:ilvl w:val="0"/>
          <w:numId w:val="1"/>
        </w:numPr>
        <w:ind w:hanging="360" w:start="720"/>
        <w:rPr/>
      </w:pPr>
      <w:r>
        <w:rPr/>
        <w:t>Controller adjusts dispatch of grid-forming/grid-following DERs to arrest frequency decline</w:t>
      </w:r>
    </w:p>
    <w:p>
      <w:pPr>
        <w:pStyle w:val="ListBullet"/>
        <w:numPr>
          <w:ilvl w:val="0"/>
          <w:numId w:val="1"/>
        </w:numPr>
        <w:ind w:hanging="360" w:start="720"/>
        <w:rPr/>
      </w:pPr>
      <w:r>
        <w:rPr/>
        <w:t>Voltage/frequency recovery to nominal within acceptable timeframe (&lt;5 seconds)</w:t>
      </w:r>
    </w:p>
    <w:p>
      <w:pPr>
        <w:pStyle w:val="ListBullet"/>
        <w:numPr>
          <w:ilvl w:val="0"/>
          <w:numId w:val="1"/>
        </w:numPr>
        <w:ind w:hanging="360" w:start="720"/>
        <w:rPr/>
      </w:pPr>
      <w:r>
        <w:rPr/>
        <w:t>Transient excursions remain within ITIC curve limits</w:t>
      </w:r>
    </w:p>
    <w:p>
      <w:pPr>
        <w:pStyle w:val="Normal"/>
        <w:rPr/>
      </w:pPr>
      <w:r>
        <w:rPr/>
      </w:r>
    </w:p>
    <w:p>
      <w:pPr>
        <w:pStyle w:val="Normal"/>
        <w:rPr/>
      </w:pPr>
      <w:r>
        <w:rPr>
          <w:b/>
          <w:sz w:val="22"/>
        </w:rPr>
        <w:t>Test 1.2: Unplanned Islanding with DTT/CAT Signal</w:t>
      </w:r>
    </w:p>
    <w:p>
      <w:pPr>
        <w:pStyle w:val="Normal"/>
        <w:ind w:start="360"/>
        <w:rPr/>
      </w:pPr>
      <w:r>
        <w:rPr>
          <w:b/>
        </w:rPr>
        <w:t xml:space="preserve">Objective: </w:t>
      </w:r>
      <w:r>
        <w:rPr/>
        <w:t>Verify controller integration with high-speed utility protection signals (critical for ConEd, Dominion).</w:t>
      </w:r>
    </w:p>
    <w:p>
      <w:pPr>
        <w:pStyle w:val="Normal"/>
        <w:ind w:start="360"/>
        <w:rPr/>
      </w:pPr>
      <w:r>
        <w:rPr>
          <w:b/>
        </w:rPr>
        <w:t xml:space="preserve">Procedure: </w:t>
      </w:r>
      <w:r>
        <w:rPr/>
        <w:t>Simulate utility event triggering DTT/CAT signal to controller's digital input.</w:t>
      </w:r>
    </w:p>
    <w:p>
      <w:pPr>
        <w:pStyle w:val="Normal"/>
        <w:ind w:start="360"/>
        <w:rPr/>
      </w:pPr>
      <w:r>
        <w:rPr>
          <w:b/>
        </w:rPr>
        <w:t>Pass Criteria:</w:t>
      </w:r>
    </w:p>
    <w:p>
      <w:pPr>
        <w:pStyle w:val="ListBullet"/>
        <w:numPr>
          <w:ilvl w:val="0"/>
          <w:numId w:val="1"/>
        </w:numPr>
        <w:ind w:hanging="360" w:start="720"/>
        <w:rPr/>
      </w:pPr>
      <w:r>
        <w:rPr/>
        <w:t>Upon receiving DTT signal, controller immediately trips POI breaker and all internal DERs</w:t>
      </w:r>
    </w:p>
    <w:p>
      <w:pPr>
        <w:pStyle w:val="ListBullet"/>
        <w:numPr>
          <w:ilvl w:val="0"/>
          <w:numId w:val="1"/>
        </w:numPr>
        <w:ind w:hanging="360" w:start="720"/>
        <w:rPr/>
      </w:pPr>
      <w:r>
        <w:rPr/>
        <w:t>Total clearing time from fault inception to cessation of current injection meets utility requirement (often &lt;10 cycles)</w:t>
      </w:r>
    </w:p>
    <w:p>
      <w:pPr>
        <w:pStyle w:val="ListBullet"/>
        <w:numPr>
          <w:ilvl w:val="0"/>
          <w:numId w:val="1"/>
        </w:numPr>
        <w:ind w:hanging="360" w:start="720"/>
        <w:rPr/>
      </w:pPr>
      <w:r>
        <w:rPr/>
        <w:t>DTT signal receipt is logged with timestamp for audit trail</w:t>
      </w:r>
    </w:p>
    <w:p>
      <w:pPr>
        <w:pStyle w:val="Normal"/>
        <w:rPr/>
      </w:pPr>
      <w:r>
        <w:rPr/>
      </w:r>
    </w:p>
    <w:p>
      <w:pPr>
        <w:pStyle w:val="Normal"/>
        <w:rPr/>
      </w:pPr>
      <w:r>
        <w:rPr>
          <w:b/>
          <w:sz w:val="22"/>
        </w:rPr>
        <w:t>Test 1.3: Resynchronization and Reconnection</w:t>
      </w:r>
    </w:p>
    <w:p>
      <w:pPr>
        <w:pStyle w:val="Normal"/>
        <w:ind w:start="360"/>
        <w:rPr/>
      </w:pPr>
      <w:r>
        <w:rPr>
          <w:b/>
        </w:rPr>
        <w:t xml:space="preserve">Objective: </w:t>
      </w:r>
      <w:r>
        <w:rPr/>
        <w:t>Verify controller ability to perform active check-sync closure after islanded operation.</w:t>
      </w:r>
    </w:p>
    <w:p>
      <w:pPr>
        <w:pStyle w:val="Normal"/>
        <w:ind w:start="360"/>
        <w:rPr/>
      </w:pPr>
      <w:r>
        <w:rPr>
          <w:b/>
        </w:rPr>
        <w:t xml:space="preserve">Procedure: </w:t>
      </w:r>
      <w:r>
        <w:rPr/>
        <w:t>After successful islanding test, simulate restoration of utility grid.</w:t>
      </w:r>
    </w:p>
    <w:p>
      <w:pPr>
        <w:pStyle w:val="Normal"/>
        <w:ind w:start="360"/>
        <w:rPr/>
      </w:pPr>
      <w:r>
        <w:rPr>
          <w:b/>
        </w:rPr>
        <w:t>Pass Criteria:</w:t>
      </w:r>
    </w:p>
    <w:p>
      <w:pPr>
        <w:pStyle w:val="ListBullet"/>
        <w:numPr>
          <w:ilvl w:val="0"/>
          <w:numId w:val="1"/>
        </w:numPr>
        <w:ind w:hanging="360" w:start="720"/>
        <w:rPr/>
      </w:pPr>
      <w:r>
        <w:rPr/>
        <w:t>Controller enables synchronizer and actively drives island V/f/θ to match grid</w:t>
      </w:r>
    </w:p>
    <w:p>
      <w:pPr>
        <w:pStyle w:val="ListBullet"/>
        <w:numPr>
          <w:ilvl w:val="0"/>
          <w:numId w:val="1"/>
        </w:numPr>
        <w:ind w:hanging="360" w:start="720"/>
        <w:rPr/>
      </w:pPr>
      <w:r>
        <w:rPr/>
        <w:t>POI breaker close command issued only when ΔV &lt;5%, Δf &lt;0.1 Hz, Δθ &lt;10° (per ANSI C50.13)</w:t>
      </w:r>
    </w:p>
    <w:p>
      <w:pPr>
        <w:pStyle w:val="ListBullet"/>
        <w:numPr>
          <w:ilvl w:val="0"/>
          <w:numId w:val="1"/>
        </w:numPr>
        <w:ind w:hanging="360" w:start="720"/>
        <w:rPr/>
      </w:pPr>
      <w:r>
        <w:rPr/>
        <w:t>Reconnection is 'bumpless' with minimal real/reactive power exchange upon closure</w:t>
      </w:r>
    </w:p>
    <w:p>
      <w:pPr>
        <w:pStyle w:val="ListBullet"/>
        <w:numPr>
          <w:ilvl w:val="0"/>
          <w:numId w:val="1"/>
        </w:numPr>
        <w:ind w:hanging="360" w:start="720"/>
        <w:rPr/>
      </w:pPr>
      <w:r>
        <w:rPr/>
        <w:t>Synchronization parameters documented in test report</w:t>
      </w:r>
    </w:p>
    <w:p>
      <w:pPr>
        <w:pStyle w:val="Heading3"/>
        <w:rPr/>
      </w:pPr>
      <w:bookmarkStart w:id="31" w:name="__RefHeading___Toc3111_3356913938"/>
      <w:bookmarkEnd w:id="31"/>
      <w:r>
        <w:rPr/>
        <w:t>Test Case Group 2: Grid Support and Utility Control</w:t>
      </w:r>
    </w:p>
    <w:p>
      <w:pPr>
        <w:pStyle w:val="Normal"/>
        <w:rPr/>
      </w:pPr>
      <w:r>
        <w:rPr/>
      </w:r>
    </w:p>
    <w:p>
      <w:pPr>
        <w:pStyle w:val="Normal"/>
        <w:rPr/>
      </w:pPr>
      <w:r>
        <w:rPr>
          <w:b/>
          <w:sz w:val="22"/>
        </w:rPr>
        <w:t>Test 2.1: Voltage Ride-Through (VRT) Compliance</w:t>
      </w:r>
    </w:p>
    <w:p>
      <w:pPr>
        <w:pStyle w:val="Normal"/>
        <w:ind w:start="360"/>
        <w:rPr/>
      </w:pPr>
      <w:r>
        <w:rPr>
          <w:b/>
        </w:rPr>
        <w:t xml:space="preserve">Objective: </w:t>
      </w:r>
      <w:r>
        <w:rPr/>
        <w:t>Verify compliance with ISO-NE Category II and NYISO Default Settings ride-through profiles.</w:t>
      </w:r>
    </w:p>
    <w:p>
      <w:pPr>
        <w:pStyle w:val="Normal"/>
        <w:ind w:start="360"/>
        <w:rPr/>
      </w:pPr>
      <w:r>
        <w:rPr>
          <w:b/>
        </w:rPr>
        <w:t xml:space="preserve">Procedure: </w:t>
      </w:r>
      <w:r>
        <w:rPr/>
        <w:t>Simulate various voltage sags (e.g., 0.5 p.u. for 1 sec, 0.7 p.u. for 2 sec) on utility grid model.</w:t>
      </w:r>
    </w:p>
    <w:p>
      <w:pPr>
        <w:pStyle w:val="Normal"/>
        <w:ind w:start="360"/>
        <w:rPr/>
      </w:pPr>
      <w:r>
        <w:rPr>
          <w:b/>
        </w:rPr>
        <w:t>Pass Criteria:</w:t>
      </w:r>
    </w:p>
    <w:p>
      <w:pPr>
        <w:pStyle w:val="ListBullet"/>
        <w:numPr>
          <w:ilvl w:val="0"/>
          <w:numId w:val="1"/>
        </w:numPr>
        <w:ind w:hanging="360" w:start="720"/>
        <w:rPr/>
      </w:pPr>
      <w:r>
        <w:rPr/>
        <w:t>Controller and subordinate DERs do not trip; continue operating through disturbance per ride-through curve</w:t>
      </w:r>
    </w:p>
    <w:p>
      <w:pPr>
        <w:pStyle w:val="ListBullet"/>
        <w:numPr>
          <w:ilvl w:val="0"/>
          <w:numId w:val="1"/>
        </w:numPr>
        <w:ind w:hanging="360" w:start="720"/>
        <w:rPr/>
      </w:pPr>
      <w:r>
        <w:rPr/>
        <w:t>For ISO-NE Cat II: controller commands DERs to 'momentary cessation' or 'active current exchange' per voltage level</w:t>
      </w:r>
    </w:p>
    <w:p>
      <w:pPr>
        <w:pStyle w:val="ListBullet"/>
        <w:numPr>
          <w:ilvl w:val="0"/>
          <w:numId w:val="1"/>
        </w:numPr>
        <w:ind w:hanging="360" w:start="720"/>
        <w:rPr/>
      </w:pPr>
      <w:r>
        <w:rPr/>
        <w:t>No false trips during normal voltage transients within ride-through boundaries</w:t>
      </w:r>
    </w:p>
    <w:p>
      <w:pPr>
        <w:pStyle w:val="Normal"/>
        <w:rPr/>
      </w:pPr>
      <w:r>
        <w:rPr/>
      </w:r>
    </w:p>
    <w:p>
      <w:pPr>
        <w:pStyle w:val="Normal"/>
        <w:rPr/>
      </w:pPr>
      <w:r>
        <w:rPr>
          <w:b/>
          <w:sz w:val="22"/>
        </w:rPr>
        <w:t>Test 2.2: Dynamic Voltage Support (Volt-VAR)</w:t>
      </w:r>
    </w:p>
    <w:p>
      <w:pPr>
        <w:pStyle w:val="Normal"/>
        <w:ind w:start="360"/>
        <w:rPr/>
      </w:pPr>
      <w:r>
        <w:rPr>
          <w:b/>
        </w:rPr>
        <w:t xml:space="preserve">Objective: </w:t>
      </w:r>
      <w:r>
        <w:rPr/>
        <w:t>Verify controller execution of utility-commanded Volt-VAR curve (critical for NYISO, ISO-NE).</w:t>
      </w:r>
    </w:p>
    <w:p>
      <w:pPr>
        <w:pStyle w:val="Normal"/>
        <w:ind w:start="360"/>
        <w:rPr/>
      </w:pPr>
      <w:r>
        <w:rPr>
          <w:b/>
        </w:rPr>
        <w:t xml:space="preserve">Procedure: </w:t>
      </w:r>
      <w:r>
        <w:rPr/>
        <w:t>Create voltage deviation at POI in CHIL model; measure reactive power response.</w:t>
      </w:r>
    </w:p>
    <w:p>
      <w:pPr>
        <w:pStyle w:val="Normal"/>
        <w:ind w:start="360"/>
        <w:rPr/>
      </w:pPr>
      <w:r>
        <w:rPr>
          <w:b/>
        </w:rPr>
        <w:t>Pass Criteria:</w:t>
      </w:r>
    </w:p>
    <w:p>
      <w:pPr>
        <w:pStyle w:val="ListBullet"/>
        <w:numPr>
          <w:ilvl w:val="0"/>
          <w:numId w:val="1"/>
        </w:numPr>
        <w:ind w:hanging="360" w:start="720"/>
        <w:rPr/>
      </w:pPr>
      <w:r>
        <w:rPr/>
        <w:t>Controller measures voltage deviation and commands DERs to inject/absorb reactive power per specified Q(V) curve</w:t>
      </w:r>
    </w:p>
    <w:p>
      <w:pPr>
        <w:pStyle w:val="ListBullet"/>
        <w:numPr>
          <w:ilvl w:val="0"/>
          <w:numId w:val="1"/>
        </w:numPr>
        <w:ind w:hanging="360" w:start="720"/>
        <w:rPr/>
      </w:pPr>
      <w:r>
        <w:rPr/>
        <w:t>Response time and reactive power accuracy meet utility requirements</w:t>
      </w:r>
    </w:p>
    <w:p>
      <w:pPr>
        <w:pStyle w:val="ListBullet"/>
        <w:numPr>
          <w:ilvl w:val="0"/>
          <w:numId w:val="1"/>
        </w:numPr>
        <w:ind w:hanging="360" w:start="720"/>
        <w:rPr/>
      </w:pPr>
      <w:r>
        <w:rPr/>
        <w:t>Deadband and slope parameters configurable to utility specification</w:t>
      </w:r>
    </w:p>
    <w:p>
      <w:pPr>
        <w:pStyle w:val="Normal"/>
        <w:rPr/>
      </w:pPr>
      <w:r>
        <w:rPr/>
      </w:r>
    </w:p>
    <w:p>
      <w:pPr>
        <w:pStyle w:val="Normal"/>
        <w:rPr/>
      </w:pPr>
      <w:r>
        <w:rPr>
          <w:b/>
          <w:sz w:val="22"/>
        </w:rPr>
        <w:t>Test 2.3: SCADA Command Response</w:t>
      </w:r>
    </w:p>
    <w:p>
      <w:pPr>
        <w:pStyle w:val="Normal"/>
        <w:ind w:start="360"/>
        <w:rPr/>
      </w:pPr>
      <w:r>
        <w:rPr>
          <w:b/>
        </w:rPr>
        <w:t xml:space="preserve">Objective: </w:t>
      </w:r>
      <w:r>
        <w:rPr/>
        <w:t>Verify controller response to remote commands from utility control center (critical for Eversource, ConEd).</w:t>
      </w:r>
    </w:p>
    <w:p>
      <w:pPr>
        <w:pStyle w:val="Normal"/>
        <w:ind w:start="360"/>
        <w:rPr/>
      </w:pPr>
      <w:r>
        <w:rPr>
          <w:b/>
        </w:rPr>
        <w:t xml:space="preserve">Procedure: </w:t>
      </w:r>
      <w:r>
        <w:rPr/>
        <w:t>Using simulated utility SCADA master, send DNP3 or equivalent protocol commands to controller.</w:t>
      </w:r>
    </w:p>
    <w:p>
      <w:pPr>
        <w:pStyle w:val="Normal"/>
        <w:ind w:start="360"/>
        <w:rPr/>
      </w:pPr>
      <w:r>
        <w:rPr>
          <w:b/>
        </w:rPr>
        <w:t>Pass Criteria:</w:t>
      </w:r>
    </w:p>
    <w:p>
      <w:pPr>
        <w:pStyle w:val="ListBullet"/>
        <w:numPr>
          <w:ilvl w:val="0"/>
          <w:numId w:val="1"/>
        </w:numPr>
        <w:ind w:hanging="360" w:start="720"/>
        <w:rPr/>
      </w:pPr>
      <w:r>
        <w:rPr/>
        <w:t>Controller correctly interprets and executes: Remote Trip, Curtail Generation to X%, Change Power Factor to Y, Enable/Disable Export</w:t>
      </w:r>
    </w:p>
    <w:p>
      <w:pPr>
        <w:pStyle w:val="ListBullet"/>
        <w:numPr>
          <w:ilvl w:val="0"/>
          <w:numId w:val="1"/>
        </w:numPr>
        <w:ind w:hanging="360" w:start="720"/>
        <w:rPr/>
      </w:pPr>
      <w:r>
        <w:rPr/>
        <w:t>Accurate acknowledgments and real-time telemetry updates returned to SCADA master</w:t>
      </w:r>
    </w:p>
    <w:p>
      <w:pPr>
        <w:pStyle w:val="ListBullet"/>
        <w:numPr>
          <w:ilvl w:val="0"/>
          <w:numId w:val="1"/>
        </w:numPr>
        <w:ind w:hanging="360" w:start="720"/>
        <w:rPr/>
      </w:pPr>
      <w:r>
        <w:rPr/>
        <w:t>Command latency meets utility specification</w:t>
      </w:r>
    </w:p>
    <w:p>
      <w:pPr>
        <w:pStyle w:val="ListBullet"/>
        <w:numPr>
          <w:ilvl w:val="0"/>
          <w:numId w:val="1"/>
        </w:numPr>
        <w:ind w:hanging="360" w:start="720"/>
        <w:rPr/>
      </w:pPr>
      <w:r>
        <w:rPr/>
        <w:t>Communications loss failsafe behavior verified</w:t>
      </w:r>
    </w:p>
    <w:p>
      <w:pPr>
        <w:pStyle w:val="Heading3"/>
        <w:rPr/>
      </w:pPr>
      <w:bookmarkStart w:id="32" w:name="__RefHeading___Toc3113_3356913938"/>
      <w:bookmarkEnd w:id="32"/>
      <w:r>
        <w:rPr/>
        <w:t>Test Case Group 3: Islanded Mode Stability</w:t>
      </w:r>
    </w:p>
    <w:p>
      <w:pPr>
        <w:pStyle w:val="Normal"/>
        <w:rPr/>
      </w:pPr>
      <w:r>
        <w:rPr/>
      </w:r>
    </w:p>
    <w:p>
      <w:pPr>
        <w:pStyle w:val="Normal"/>
        <w:rPr/>
      </w:pPr>
      <w:r>
        <w:rPr>
          <w:b/>
          <w:sz w:val="22"/>
        </w:rPr>
        <w:t>Test 3.1: Black Start Sequence</w:t>
      </w:r>
    </w:p>
    <w:p>
      <w:pPr>
        <w:pStyle w:val="Normal"/>
        <w:ind w:start="360"/>
        <w:rPr/>
      </w:pPr>
      <w:r>
        <w:rPr>
          <w:b/>
        </w:rPr>
        <w:t xml:space="preserve">Objective: </w:t>
      </w:r>
      <w:r>
        <w:rPr/>
        <w:t>Verify compliance with IEEE 2030.7 black start capability requirement.</w:t>
      </w:r>
    </w:p>
    <w:p>
      <w:pPr>
        <w:pStyle w:val="Normal"/>
        <w:ind w:start="360"/>
        <w:rPr/>
      </w:pPr>
      <w:r>
        <w:rPr>
          <w:b/>
        </w:rPr>
        <w:t xml:space="preserve">Procedure: </w:t>
      </w:r>
      <w:r>
        <w:rPr/>
        <w:t>Start with completely de-energized microgrid model; initiate black start sequence.</w:t>
      </w:r>
    </w:p>
    <w:p>
      <w:pPr>
        <w:pStyle w:val="Normal"/>
        <w:ind w:start="360"/>
        <w:rPr/>
      </w:pPr>
      <w:r>
        <w:rPr>
          <w:b/>
        </w:rPr>
        <w:t>Pass Criteria:</w:t>
      </w:r>
    </w:p>
    <w:p>
      <w:pPr>
        <w:pStyle w:val="ListBullet"/>
        <w:numPr>
          <w:ilvl w:val="0"/>
          <w:numId w:val="1"/>
        </w:numPr>
        <w:ind w:hanging="360" w:start="720"/>
        <w:rPr/>
      </w:pPr>
      <w:r>
        <w:rPr/>
        <w:t>Controller successfully initiates start command to designated grid-forming asset (e.g., battery inverter)</w:t>
      </w:r>
    </w:p>
    <w:p>
      <w:pPr>
        <w:pStyle w:val="ListBullet"/>
        <w:numPr>
          <w:ilvl w:val="0"/>
          <w:numId w:val="1"/>
        </w:numPr>
        <w:ind w:hanging="360" w:start="720"/>
        <w:rPr/>
      </w:pPr>
      <w:r>
        <w:rPr/>
        <w:t>Grid-forming asset establishes stable voltage and frequency</w:t>
      </w:r>
    </w:p>
    <w:p>
      <w:pPr>
        <w:pStyle w:val="ListBullet"/>
        <w:numPr>
          <w:ilvl w:val="0"/>
          <w:numId w:val="1"/>
        </w:numPr>
        <w:ind w:hanging="360" w:start="720"/>
        <w:rPr/>
      </w:pPr>
      <w:r>
        <w:rPr/>
        <w:t>Controller proceeds with pre-defined sequential restoration of DERs and load blocks</w:t>
      </w:r>
    </w:p>
    <w:p>
      <w:pPr>
        <w:pStyle w:val="ListBullet"/>
        <w:numPr>
          <w:ilvl w:val="0"/>
          <w:numId w:val="1"/>
        </w:numPr>
        <w:ind w:hanging="360" w:start="720"/>
        <w:rPr/>
      </w:pPr>
      <w:r>
        <w:rPr/>
        <w:t>System stability maintained at each restoration step</w:t>
      </w:r>
    </w:p>
    <w:p>
      <w:pPr>
        <w:pStyle w:val="Normal"/>
        <w:rPr/>
      </w:pPr>
      <w:r>
        <w:rPr/>
      </w:r>
    </w:p>
    <w:p>
      <w:pPr>
        <w:pStyle w:val="Normal"/>
        <w:rPr/>
      </w:pPr>
      <w:r>
        <w:rPr>
          <w:b/>
          <w:sz w:val="22"/>
        </w:rPr>
        <w:t>Test 3.2: Load Step Change in Island Mode</w:t>
      </w:r>
    </w:p>
    <w:p>
      <w:pPr>
        <w:pStyle w:val="Normal"/>
        <w:ind w:start="360"/>
        <w:rPr/>
      </w:pPr>
      <w:r>
        <w:rPr>
          <w:b/>
        </w:rPr>
        <w:t xml:space="preserve">Objective: </w:t>
      </w:r>
      <w:r>
        <w:rPr/>
        <w:t>Verify controller dynamic response and stability during islanded operation under load disturbances.</w:t>
      </w:r>
    </w:p>
    <w:p>
      <w:pPr>
        <w:pStyle w:val="Normal"/>
        <w:ind w:start="360"/>
        <w:rPr/>
      </w:pPr>
      <w:r>
        <w:rPr>
          <w:b/>
        </w:rPr>
        <w:t xml:space="preserve">Procedure: </w:t>
      </w:r>
      <w:r>
        <w:rPr/>
        <w:t>While in stable island, simulate sudden connection/disconnection of largest single load.</w:t>
      </w:r>
    </w:p>
    <w:p>
      <w:pPr>
        <w:pStyle w:val="Normal"/>
        <w:ind w:start="360"/>
        <w:rPr/>
      </w:pPr>
      <w:r>
        <w:rPr>
          <w:b/>
        </w:rPr>
        <w:t>Pass Criteria:</w:t>
      </w:r>
    </w:p>
    <w:p>
      <w:pPr>
        <w:pStyle w:val="ListBullet"/>
        <w:numPr>
          <w:ilvl w:val="0"/>
          <w:numId w:val="1"/>
        </w:numPr>
        <w:ind w:hanging="360" w:start="720"/>
        <w:rPr/>
      </w:pPr>
      <w:r>
        <w:rPr/>
        <w:t>Controller rapidly adjusts DER dispatch to meet load change</w:t>
      </w:r>
    </w:p>
    <w:p>
      <w:pPr>
        <w:pStyle w:val="ListBullet"/>
        <w:numPr>
          <w:ilvl w:val="0"/>
          <w:numId w:val="1"/>
        </w:numPr>
        <w:ind w:hanging="360" w:start="720"/>
        <w:rPr/>
      </w:pPr>
      <w:r>
        <w:rPr/>
        <w:t>Frequency and voltage deviations quickly arrested and recover to nominal setpoints</w:t>
      </w:r>
    </w:p>
    <w:p>
      <w:pPr>
        <w:pStyle w:val="ListBullet"/>
        <w:numPr>
          <w:ilvl w:val="0"/>
          <w:numId w:val="1"/>
        </w:numPr>
        <w:ind w:hanging="360" w:start="720"/>
        <w:rPr/>
      </w:pPr>
      <w:r>
        <w:rPr/>
        <w:t>No under/over frequency protection trips on other system components</w:t>
      </w:r>
    </w:p>
    <w:p>
      <w:pPr>
        <w:pStyle w:val="ListBullet"/>
        <w:numPr>
          <w:ilvl w:val="0"/>
          <w:numId w:val="1"/>
        </w:numPr>
        <w:ind w:hanging="360" w:start="720"/>
        <w:rPr/>
      </w:pPr>
      <w:r>
        <w:rPr/>
        <w:t>Recovery within utility-specified timeframe</w:t>
      </w:r>
    </w:p>
    <w:p>
      <w:pPr>
        <w:pStyle w:val="Heading2"/>
        <w:rPr/>
      </w:pPr>
      <w:bookmarkStart w:id="33" w:name="__RefHeading___Toc3115_3356913938"/>
      <w:bookmarkEnd w:id="33"/>
      <w:r>
        <w:rPr/>
        <w:t>4.3  Test Framework vs. Utility Requirements Gap Matrix</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872"/>
        <w:gridCol w:w="1872"/>
        <w:gridCol w:w="1872"/>
        <w:gridCol w:w="1872"/>
        <w:gridCol w:w="1872"/>
      </w:tblGrid>
      <w:tr>
        <w:trPr/>
        <w:tc>
          <w:tcPr>
            <w:tcW w:w="1872"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Test Case</w:t>
            </w:r>
          </w:p>
        </w:tc>
        <w:tc>
          <w:tcPr>
            <w:tcW w:w="1872"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IEEE 2030.8 Basis</w:t>
            </w:r>
          </w:p>
        </w:tc>
        <w:tc>
          <w:tcPr>
            <w:tcW w:w="1872"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Applicable Utilities</w:t>
            </w:r>
          </w:p>
        </w:tc>
        <w:tc>
          <w:tcPr>
            <w:tcW w:w="1872"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Current Gap</w:t>
            </w:r>
          </w:p>
        </w:tc>
        <w:tc>
          <w:tcPr>
            <w:tcW w:w="1872"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Priority</w:t>
            </w:r>
          </w:p>
        </w:tc>
      </w:tr>
      <w:tr>
        <w:trPr/>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Test 1.1: UPI Response</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Mode Transition Tests</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All</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No CHIL testbed; no formal UPI test reports</w:t>
            </w:r>
          </w:p>
        </w:tc>
        <w:tc>
          <w:tcPr>
            <w:tcW w:w="1872"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C00000"/>
                <w:kern w:val="0"/>
                <w:szCs w:val="22"/>
                <w:lang w:val="en-US" w:eastAsia="en-US" w:bidi="ar-SA"/>
              </w:rPr>
              <w:t>Critical</w:t>
            </w:r>
          </w:p>
        </w:tc>
      </w:tr>
      <w:tr>
        <w:trPr/>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Test 1.2: DTT/CAT Integration</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Mode Transition Tests</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ConEd, Dominion</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DTT hardware interface not defined in controller</w:t>
            </w:r>
          </w:p>
        </w:tc>
        <w:tc>
          <w:tcPr>
            <w:tcW w:w="1872"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C00000"/>
                <w:kern w:val="0"/>
                <w:szCs w:val="22"/>
                <w:lang w:val="en-US" w:eastAsia="en-US" w:bidi="ar-SA"/>
              </w:rPr>
              <w:t>Critical</w:t>
            </w:r>
          </w:p>
        </w:tc>
      </w:tr>
      <w:tr>
        <w:trPr/>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Test 1.3: Resynchronization</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Synchronization Tests</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All</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Sync tolerances not formally verified</w:t>
            </w:r>
          </w:p>
        </w:tc>
        <w:tc>
          <w:tcPr>
            <w:tcW w:w="1872"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8C00"/>
                <w:kern w:val="0"/>
                <w:szCs w:val="22"/>
                <w:lang w:val="en-US" w:eastAsia="en-US" w:bidi="ar-SA"/>
              </w:rPr>
              <w:t>High</w:t>
            </w:r>
          </w:p>
        </w:tc>
      </w:tr>
      <w:tr>
        <w:trPr/>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Test 2.1: Voltage Ride-Through</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Disturbance Response</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NYISO, ISO-NE, PJM</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UL 1741-SB not confirmed for all integrated DERs</w:t>
            </w:r>
          </w:p>
        </w:tc>
        <w:tc>
          <w:tcPr>
            <w:tcW w:w="1872"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C00000"/>
                <w:kern w:val="0"/>
                <w:szCs w:val="22"/>
                <w:lang w:val="en-US" w:eastAsia="en-US" w:bidi="ar-SA"/>
              </w:rPr>
              <w:t>Critical</w:t>
            </w:r>
          </w:p>
        </w:tc>
      </w:tr>
      <w:tr>
        <w:trPr/>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Test 2.2: Volt-VAR</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Disturbance Response</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NYISO, ISO-NE</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Configurable Q(V) curves not implemented in controller SW</w:t>
            </w:r>
          </w:p>
        </w:tc>
        <w:tc>
          <w:tcPr>
            <w:tcW w:w="1872"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8C00"/>
                <w:kern w:val="0"/>
                <w:szCs w:val="22"/>
                <w:lang w:val="en-US" w:eastAsia="en-US" w:bidi="ar-SA"/>
              </w:rPr>
              <w:t>High</w:t>
            </w:r>
          </w:p>
        </w:tc>
      </w:tr>
      <w:tr>
        <w:trPr/>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Test 2.3: SCADA Commands</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Abnormal Conditions</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Eversource, ConEd</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DNP3 interface not in current controller architecture</w:t>
            </w:r>
          </w:p>
        </w:tc>
        <w:tc>
          <w:tcPr>
            <w:tcW w:w="1872"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C00000"/>
                <w:kern w:val="0"/>
                <w:szCs w:val="22"/>
                <w:lang w:val="en-US" w:eastAsia="en-US" w:bidi="ar-SA"/>
              </w:rPr>
              <w:t>Critical</w:t>
            </w:r>
          </w:p>
        </w:tc>
      </w:tr>
      <w:tr>
        <w:trPr/>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Test 3.1: Black Start</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Stability/Restoration</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All (resilience applications)</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Black start sequencing logic not formalized</w:t>
            </w:r>
          </w:p>
        </w:tc>
        <w:tc>
          <w:tcPr>
            <w:tcW w:w="1872"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007030"/>
                <w:kern w:val="0"/>
                <w:szCs w:val="22"/>
                <w:lang w:val="en-US" w:eastAsia="en-US" w:bidi="ar-SA"/>
              </w:rPr>
              <w:t>Medium</w:t>
            </w:r>
          </w:p>
        </w:tc>
      </w:tr>
      <w:tr>
        <w:trPr/>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Test 3.2: Load Step Response</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Disturbance Response</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All</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Droop/isochronous control not tuned for specific utility feeders</w:t>
            </w:r>
          </w:p>
        </w:tc>
        <w:tc>
          <w:tcPr>
            <w:tcW w:w="1872"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8C00"/>
                <w:kern w:val="0"/>
                <w:szCs w:val="22"/>
                <w:lang w:val="en-US" w:eastAsia="en-US" w:bidi="ar-SA"/>
              </w:rPr>
              <w:t>High</w:t>
            </w:r>
          </w:p>
        </w:tc>
      </w:tr>
    </w:tbl>
    <w:p>
      <w:pPr>
        <w:pStyle w:val="Heading1"/>
        <w:rPr/>
      </w:pPr>
      <w:r>
        <w:br w:type="page"/>
      </w:r>
      <w:bookmarkStart w:id="34" w:name="__RefHeading___Toc3117_3356913938"/>
      <w:bookmarkEnd w:id="34"/>
      <w:r>
        <w:rPr/>
        <w:t>Section 5: Certification Laboratory Pathways</w:t>
      </w:r>
    </w:p>
    <w:p>
      <w:pPr>
        <w:pStyle w:val="Normal"/>
        <w:rPr/>
      </w:pPr>
      <w:r>
        <w:rPr/>
        <w:t>Achieving certification and passing utility-witnessed tests requires engagement with specialized third-party laboratories. These labs provide accredited facilities, high-power equipment, and independent verification necessary to validate product performance against IEEE 1547, IEEE 2030.8, and UL 1741. For Delta, establishing relationships with these laboratories is crucial for both component-level certification and system-level validation.</w:t>
      </w:r>
    </w:p>
    <w:p>
      <w:pPr>
        <w:pStyle w:val="Heading2"/>
        <w:rPr/>
      </w:pPr>
      <w:bookmarkStart w:id="35" w:name="__RefHeading___Toc3119_3356913938"/>
      <w:bookmarkEnd w:id="35"/>
      <w:r>
        <w:rPr/>
        <w:t>5.1  KEMA Labs (Chalfont, Pennsylvania)</w:t>
      </w:r>
    </w:p>
    <w:p>
      <w:pPr>
        <w:pStyle w:val="Normal"/>
        <w:rPr/>
      </w:pPr>
      <w:r>
        <w:rPr/>
        <w:t>As a division of CESI Group, KEMA Labs in Chalfont is the largest independent high-power and high-voltage testing laboratory in the United States. Its Pennsylvania location makes it highly accessible for East Coast clients.</w:t>
      </w:r>
    </w:p>
    <w:p>
      <w:pPr>
        <w:pStyle w:val="ListBullet"/>
        <w:numPr>
          <w:ilvl w:val="0"/>
          <w:numId w:val="1"/>
        </w:numPr>
        <w:rPr/>
      </w:pPr>
      <w:r>
        <w:rPr>
          <w:b/>
        </w:rPr>
        <w:t xml:space="preserve">High-Power Lab: </w:t>
      </w:r>
      <w:r>
        <w:rPr/>
        <w:t>Generates short-circuit outputs up to 245 kV / 63 kA, essential for testing fault-clearing and ride-through capabilities of switchgear, circuit breakers, reclosers, and protective devices at the microgrid POI.</w:t>
      </w:r>
    </w:p>
    <w:p>
      <w:pPr>
        <w:pStyle w:val="ListBullet"/>
        <w:numPr>
          <w:ilvl w:val="0"/>
          <w:numId w:val="1"/>
        </w:numPr>
        <w:rPr/>
      </w:pPr>
      <w:r>
        <w:rPr>
          <w:b/>
        </w:rPr>
        <w:t xml:space="preserve">High-Voltage Lab: </w:t>
      </w:r>
      <w:r>
        <w:rPr/>
        <w:t>Provides dielectric testing up to 230 kV and impulse testing, critical for validating insulation and surge withstand capabilities of transformers, cables, and arresters.</w:t>
      </w:r>
    </w:p>
    <w:p>
      <w:pPr>
        <w:pStyle w:val="ListBullet"/>
        <w:numPr>
          <w:ilvl w:val="0"/>
          <w:numId w:val="1"/>
        </w:numPr>
        <w:rPr/>
      </w:pPr>
      <w:r>
        <w:rPr>
          <w:b/>
        </w:rPr>
        <w:t xml:space="preserve">Microgrid Components: </w:t>
      </w:r>
      <w:r>
        <w:rPr/>
        <w:t>Tests a wide range of equipment including distribution transformers, switchgear, and motor controllers against ANSI, IEEE, and IEC standards.</w:t>
      </w:r>
    </w:p>
    <w:p>
      <w:pPr>
        <w:pStyle w:val="ListBullet"/>
        <w:numPr>
          <w:ilvl w:val="0"/>
          <w:numId w:val="1"/>
        </w:numPr>
        <w:rPr/>
      </w:pPr>
      <w:r>
        <w:rPr>
          <w:b/>
        </w:rPr>
        <w:t xml:space="preserve">Accreditations: </w:t>
      </w:r>
      <w:r>
        <w:rPr/>
        <w:t>A2LA accredited (ISO 17025); participates in UL Third Party Test Data Program (TPTDP) to streamline UL certification.</w:t>
      </w:r>
    </w:p>
    <w:p>
      <w:pPr>
        <w:pStyle w:val="Normal"/>
        <w:rPr/>
      </w:pPr>
      <w:r>
        <w:rPr/>
        <w:t>Relevance to Delta: KEMA is the premier location for validating performance of POI hardware and protection schemes required by utilities such as ConEd, PPL, and PSE&amp;G.</w:t>
      </w:r>
    </w:p>
    <w:p>
      <w:pPr>
        <w:pStyle w:val="Heading2"/>
        <w:rPr/>
      </w:pPr>
      <w:bookmarkStart w:id="36" w:name="__RefHeading___Toc3121_3356913938"/>
      <w:bookmarkEnd w:id="36"/>
      <w:r>
        <w:rPr/>
        <w:t>5.2  Intertek (Cortland, NY and Multiple Locations)</w:t>
      </w:r>
    </w:p>
    <w:p>
      <w:pPr>
        <w:pStyle w:val="Normal"/>
        <w:rPr/>
      </w:pPr>
      <w:r>
        <w:rPr/>
        <w:t>Intertek is an OSHA-recognized Nationally Recognized Testing Laboratory (NRTL) authorized to test and certify products with the ETL Listed Mark, which is equivalent to the UL mark. They provide comprehensive electrical safety testing for power transmission and distribution equipment, including switchgear, control panels, and transformers.</w:t>
      </w:r>
    </w:p>
    <w:p>
      <w:pPr>
        <w:pStyle w:val="Normal"/>
        <w:rPr/>
      </w:pPr>
      <w:r>
        <w:rPr/>
        <w:t>Intertek provides the ETL Listed Mark, essential for demonstrating product compliance with safety standards including UL 1741 for inverters. They also offer field labeling for custom or site-specific equipment. The ETL mark is recognized and accepted by electrical inspectors and utilities across North America. Relevance to Delta: Key partner for obtaining safety certifications for Delta's controller hardware and assembled panel equipment.</w:t>
      </w:r>
    </w:p>
    <w:p>
      <w:pPr>
        <w:pStyle w:val="Heading2"/>
        <w:rPr/>
      </w:pPr>
      <w:bookmarkStart w:id="37" w:name="__RefHeading___Toc3123_3356913938"/>
      <w:bookmarkEnd w:id="37"/>
      <w:r>
        <w:rPr/>
        <w:t>5.3  UL Solutions (Multiple Locations)</w:t>
      </w:r>
    </w:p>
    <w:p>
      <w:pPr>
        <w:pStyle w:val="Normal"/>
        <w:rPr/>
      </w:pPr>
      <w:r>
        <w:rPr/>
        <w:t>UL is the most recognized name in product safety certification in North America, offering a comprehensive suite of services for microgrids and DER systems.</w:t>
      </w:r>
    </w:p>
    <w:p>
      <w:pPr>
        <w:pStyle w:val="ListBullet"/>
        <w:numPr>
          <w:ilvl w:val="0"/>
          <w:numId w:val="1"/>
        </w:numPr>
        <w:rPr/>
      </w:pPr>
      <w:r>
        <w:rPr>
          <w:b/>
        </w:rPr>
        <w:t xml:space="preserve">Grid Code Compliance: </w:t>
      </w:r>
      <w:r>
        <w:rPr/>
        <w:t>Testing, inspection, and certification against more than 60 global grid codes. Primary authority for testing against UL 1741 and the critical UL 1741 SB supplement for IEEE 1547-2018 compliance.</w:t>
      </w:r>
    </w:p>
    <w:p>
      <w:pPr>
        <w:pStyle w:val="ListBullet"/>
        <w:numPr>
          <w:ilvl w:val="0"/>
          <w:numId w:val="1"/>
        </w:numPr>
        <w:rPr/>
      </w:pPr>
      <w:r>
        <w:rPr>
          <w:b/>
        </w:rPr>
        <w:t xml:space="preserve">Energy Storage Systems: </w:t>
      </w:r>
      <w:r>
        <w:rPr/>
        <w:t>Testing and certification to UL 9540 (Standard for Energy Storage Systems and Equipment), increasingly required by building codes and utilities.</w:t>
      </w:r>
    </w:p>
    <w:p>
      <w:pPr>
        <w:pStyle w:val="ListBullet"/>
        <w:numPr>
          <w:ilvl w:val="0"/>
          <w:numId w:val="1"/>
        </w:numPr>
        <w:rPr/>
      </w:pPr>
      <w:r>
        <w:rPr>
          <w:b/>
        </w:rPr>
        <w:t xml:space="preserve">Medium/High Voltage: </w:t>
      </w:r>
      <w:r>
        <w:rPr/>
        <w:t>Testing on MV distribution equipment and cable systems. HOMER® software for microgrid design and economic modeling.</w:t>
      </w:r>
    </w:p>
    <w:p>
      <w:pPr>
        <w:pStyle w:val="Heading2"/>
        <w:rPr/>
      </w:pPr>
      <w:bookmarkStart w:id="38" w:name="__RefHeading___Toc3125_3356913938"/>
      <w:bookmarkEnd w:id="38"/>
      <w:r>
        <w:rPr/>
        <w:t>5.4  Indicative Timelines and Costs</w:t>
      </w:r>
    </w:p>
    <w:p>
      <w:pPr>
        <w:pStyle w:val="Normal"/>
        <w:rPr/>
      </w:pPr>
      <w:r>
        <w:rPr/>
        <w:t>Specific costs and timelines are highly project-dependent. The following estimates are for strategic planning purposes only. Formal quotes must be obtained from each laboratory.</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872"/>
        <w:gridCol w:w="1872"/>
        <w:gridCol w:w="1872"/>
        <w:gridCol w:w="1872"/>
        <w:gridCol w:w="1872"/>
      </w:tblGrid>
      <w:tr>
        <w:trPr/>
        <w:tc>
          <w:tcPr>
            <w:tcW w:w="1872"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Service / Test</w:t>
            </w:r>
          </w:p>
        </w:tc>
        <w:tc>
          <w:tcPr>
            <w:tcW w:w="1872"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Relevant Lab(s)</w:t>
            </w:r>
          </w:p>
        </w:tc>
        <w:tc>
          <w:tcPr>
            <w:tcW w:w="1872"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Indicative Timeline</w:t>
            </w:r>
          </w:p>
        </w:tc>
        <w:tc>
          <w:tcPr>
            <w:tcW w:w="1872"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Indicative Cost (USD)</w:t>
            </w:r>
          </w:p>
        </w:tc>
        <w:tc>
          <w:tcPr>
            <w:tcW w:w="1872"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Notes</w:t>
            </w:r>
          </w:p>
        </w:tc>
      </w:tr>
      <w:tr>
        <w:trPr/>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UL 1741 SB Certification (Inverter)</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UL, Intertek</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6–12 months</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$100,000–$250,000+ per model</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Covers safety and grid support functions; lengthy and complex process</w:t>
            </w:r>
          </w:p>
        </w:tc>
      </w:tr>
      <w:tr>
        <w:trPr/>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UL 9540 Certification (BESS)</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UL, Intertek</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9–18 months</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$200,000–$500,000+</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Certifies entire BESS including cells, BMS, and enclosure</w:t>
            </w:r>
          </w:p>
        </w:tc>
      </w:tr>
      <w:tr>
        <w:trPr/>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Short-Circuit Test (POI Switchgear)</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KEMA Labs</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2–4 weeks (lab time)</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$50,000–$150,000 per test series</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Lab often booked months in advance; does not include shipping</w:t>
            </w:r>
          </w:p>
        </w:tc>
      </w:tr>
      <w:tr>
        <w:trPr/>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Controller HIL Validation (IEEE 2030.8)</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In-house or NREL/partner</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4–8 weeks</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$30,000–$80,000 (if outsourced)</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Significantly cheaper with in-house CHIL capability</w:t>
            </w:r>
          </w:p>
        </w:tc>
      </w:tr>
      <w:tr>
        <w:trPr/>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Field Labeling (Custom Control Panel)</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Intertek, UL</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1–2 days (on-site)</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$2,000–$5,000 per panel</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For custom-built panels not mass-produced and UL-listed</w:t>
            </w:r>
          </w:p>
        </w:tc>
      </w:tr>
    </w:tbl>
    <w:p>
      <w:pPr>
        <w:pStyle w:val="Heading2"/>
        <w:rPr/>
      </w:pPr>
      <w:bookmarkStart w:id="39" w:name="__RefHeading___Toc3127_3356913938"/>
      <w:bookmarkEnd w:id="39"/>
      <w:r>
        <w:rPr/>
        <w:t>5.5  Certification Pathway Strategy for Delta</w:t>
      </w:r>
    </w:p>
    <w:p>
      <w:pPr>
        <w:pStyle w:val="Normal"/>
        <w:rPr/>
      </w:pPr>
      <w:r>
        <w:rPr>
          <w:b/>
          <w:color w:val="00467F"/>
        </w:rPr>
        <w:t xml:space="preserve">Step 1: Component-Level Certification. </w:t>
      </w:r>
      <w:r>
        <w:rPr/>
        <w:t>Ensure all third-party components (inverters, battery systems) already possess UL 1741 SB and UL 9540 certifications. Make these a primary vendor selection criterion. Delta must not integrate uncertified DER components into any interconnected system.</w:t>
      </w:r>
    </w:p>
    <w:p>
      <w:pPr>
        <w:pStyle w:val="Normal"/>
        <w:rPr/>
      </w:pPr>
      <w:r>
        <w:rPr>
          <w:b/>
          <w:color w:val="00467F"/>
        </w:rPr>
        <w:t xml:space="preserve">Step 2: Controller Hardware Safety. </w:t>
      </w:r>
      <w:r>
        <w:rPr/>
        <w:t>Delta's physical controller hardware (panel, enclosure, power supplies) must be certified for electrical safety. The most efficient path is to have the assembled control panel evaluated and listed by an NRTL (Intertek or UL). Pursue ETL/UL listing for the standard Delta control panel.</w:t>
      </w:r>
    </w:p>
    <w:p>
      <w:pPr>
        <w:pStyle w:val="Normal"/>
        <w:rPr/>
      </w:pPr>
      <w:r>
        <w:rPr>
          <w:b/>
          <w:color w:val="00467F"/>
        </w:rPr>
        <w:t xml:space="preserve">Step 3: System-Level Performance Validation. </w:t>
      </w:r>
      <w:r>
        <w:rPr/>
        <w:t>Develop an internal CHIL testbed as the primary IEEE 2030.8 compliance strategy. This provides agility to test controller software updates against a library of virtual utility feeders and produce on-demand compliance evidence for any East Coast utility.</w:t>
      </w:r>
    </w:p>
    <w:p>
      <w:pPr>
        <w:pStyle w:val="Normal"/>
        <w:rPr/>
      </w:pPr>
      <w:r>
        <w:rPr>
          <w:b/>
          <w:color w:val="00467F"/>
        </w:rPr>
        <w:t xml:space="preserve">Step 4: Specialized POI Testing. </w:t>
      </w:r>
      <w:r>
        <w:rPr/>
        <w:t>For projects requiring unique or high-power POI switchgear, contract with KEMA Labs for type testing. Factor testing costs ($50K–$150K) and scheduling lead times (months) into project budgets and timelines from project inception.</w:t>
      </w:r>
      <w:r>
        <w:br w:type="page"/>
      </w:r>
    </w:p>
    <w:p>
      <w:pPr>
        <w:pStyle w:val="Heading1"/>
        <w:spacing w:before="0" w:after="160"/>
        <w:rPr/>
      </w:pPr>
      <w:bookmarkStart w:id="40" w:name="__RefHeading___Toc3129_3356913938"/>
      <w:bookmarkEnd w:id="40"/>
      <w:r>
        <w:rPr/>
        <w:t>Section 6: Stakeholder Interview Framework</w:t>
      </w:r>
    </w:p>
    <w:p>
      <w:pPr>
        <w:pStyle w:val="Normal"/>
        <w:rPr/>
      </w:pPr>
      <w:r>
        <w:rPr/>
        <w:t>To supplement technical documentation and gain insights into the unwritten rules and future direction of utility requirements, a structured interview process with key industry stakeholders is invaluable. This framework provides targeted questions for different engineering roles within utilities and standards bodies. The goal is to understand primary concerns, pain points, and expectations for microgrid integrators.</w:t>
      </w:r>
    </w:p>
    <w:p>
      <w:pPr>
        <w:pStyle w:val="Heading2"/>
        <w:rPr/>
      </w:pPr>
      <w:bookmarkStart w:id="41" w:name="__RefHeading___Toc3131_3356913938"/>
      <w:bookmarkEnd w:id="41"/>
      <w:r>
        <w:rPr/>
        <w:t>6.1  Questions for Utility Protection Engineers</w:t>
      </w:r>
    </w:p>
    <w:p>
      <w:pPr>
        <w:pStyle w:val="Normal"/>
        <w:rPr/>
      </w:pPr>
      <w:r>
        <w:rPr/>
        <w:t>Protection engineers are focused on the safety and reliability of the grid. Their primary goal is to isolate faults quickly and prevent DERs from causing or exacerbating system problems.</w:t>
      </w:r>
    </w:p>
    <w:p>
      <w:pPr>
        <w:pStyle w:val="Heading3"/>
        <w:rPr/>
      </w:pPr>
      <w:bookmarkStart w:id="42" w:name="__RefHeading___Toc3133_3356913938"/>
      <w:bookmarkEnd w:id="42"/>
      <w:r>
        <w:rPr/>
        <w:t>Islanding and Ride-Through</w:t>
      </w:r>
    </w:p>
    <w:p>
      <w:pPr>
        <w:pStyle w:val="ListNumber"/>
        <w:numPr>
          <w:ilvl w:val="0"/>
          <w:numId w:val="16"/>
        </w:numPr>
        <w:rPr/>
      </w:pPr>
      <w:r>
        <w:rPr/>
        <w:t>Regarding IEEE 1547-2018 ride-through curves, what are your biggest concerns with the aggregate response of DERs during a transmission-level voltage sag in your territory?</w:t>
      </w:r>
    </w:p>
    <w:p>
      <w:pPr>
        <w:pStyle w:val="ListNumber"/>
        <w:numPr>
          <w:ilvl w:val="0"/>
          <w:numId w:val="4"/>
        </w:numPr>
        <w:rPr/>
      </w:pPr>
      <w:r>
        <w:rPr/>
        <w:t>Under what specific feeder conditions (e.g., load-to-generation ratio, X/R ratio) do you mandate Direct Transfer Trip (DTT) versus relying on local anti-islanding schemes? Can you provide a recent example?</w:t>
      </w:r>
    </w:p>
    <w:p>
      <w:pPr>
        <w:pStyle w:val="ListNumber"/>
        <w:numPr>
          <w:ilvl w:val="0"/>
          <w:numId w:val="4"/>
        </w:numPr>
        <w:rPr/>
      </w:pPr>
      <w:r>
        <w:rPr/>
        <w:t>How do you verify the effectiveness of inverter-based anti-islanding schemes? Have you seen failure modes in the field, and what were they?</w:t>
      </w:r>
    </w:p>
    <w:p>
      <w:pPr>
        <w:pStyle w:val="Heading3"/>
        <w:rPr/>
      </w:pPr>
      <w:bookmarkStart w:id="43" w:name="__RefHeading___Toc3135_3356913938"/>
      <w:bookmarkEnd w:id="43"/>
      <w:r>
        <w:rPr/>
        <w:t>Protection Coordination</w:t>
      </w:r>
    </w:p>
    <w:p>
      <w:pPr>
        <w:pStyle w:val="ListNumber"/>
        <w:numPr>
          <w:ilvl w:val="0"/>
          <w:numId w:val="17"/>
        </w:numPr>
        <w:rPr/>
      </w:pPr>
      <w:r>
        <w:rPr/>
        <w:t>How do you approach coordinating recloser and fuse schemes with a microgrid that may have significant fault current contribution? Are there specific challenges with inverter-based fault current (low magnitude, short duration)?</w:t>
      </w:r>
    </w:p>
    <w:p>
      <w:pPr>
        <w:pStyle w:val="ListNumber"/>
        <w:numPr>
          <w:ilvl w:val="0"/>
          <w:numId w:val="4"/>
        </w:numPr>
        <w:rPr/>
      </w:pPr>
      <w:r>
        <w:rPr/>
        <w:t>What are your requirements for the grounding transformer configuration at the POI? What are the most common mistakes you see from developers regarding grounding that desensitize your protection?</w:t>
      </w:r>
    </w:p>
    <w:p>
      <w:pPr>
        <w:pStyle w:val="ListNumber"/>
        <w:numPr>
          <w:ilvl w:val="0"/>
          <w:numId w:val="4"/>
        </w:numPr>
        <w:rPr/>
      </w:pPr>
      <w:r>
        <w:rPr/>
        <w:t>When a protection study is submitted for review, what are the top three things you look for that determine a smooth approval versus a lengthy revision cycle?</w:t>
      </w:r>
    </w:p>
    <w:p>
      <w:pPr>
        <w:pStyle w:val="Heading3"/>
        <w:rPr/>
      </w:pPr>
      <w:bookmarkStart w:id="44" w:name="__RefHeading___Toc3137_3356913938"/>
      <w:bookmarkEnd w:id="44"/>
      <w:r>
        <w:rPr/>
        <w:t>Controller Integration</w:t>
      </w:r>
    </w:p>
    <w:p>
      <w:pPr>
        <w:pStyle w:val="ListNumber"/>
        <w:numPr>
          <w:ilvl w:val="0"/>
          <w:numId w:val="18"/>
        </w:numPr>
        <w:rPr/>
      </w:pPr>
      <w:r>
        <w:rPr/>
        <w:t>For a microgrid controller managing multiple DERs behind the POI, what level of visibility or control do you need over individual assets versus just the aggregate output at the POI?</w:t>
      </w:r>
    </w:p>
    <w:p>
      <w:pPr>
        <w:pStyle w:val="ListNumber"/>
        <w:numPr>
          <w:ilvl w:val="0"/>
          <w:numId w:val="4"/>
        </w:numPr>
        <w:rPr/>
      </w:pPr>
      <w:r>
        <w:rPr/>
        <w:t>If a CAT or DTT scheme is required, what are the specific hardware interface and latency requirements for the controller to receive a trip signal? What is the expected end-to-end trip time?</w:t>
      </w:r>
    </w:p>
    <w:p>
      <w:pPr>
        <w:pStyle w:val="Heading2"/>
        <w:rPr/>
      </w:pPr>
      <w:bookmarkStart w:id="45" w:name="__RefHeading___Toc3139_3356913938"/>
      <w:bookmarkEnd w:id="45"/>
      <w:r>
        <w:rPr/>
        <w:t>6.2  Questions for Utility Metering Engineers</w:t>
      </w:r>
    </w:p>
    <w:p>
      <w:pPr>
        <w:pStyle w:val="Normal"/>
        <w:rPr/>
      </w:pPr>
      <w:r>
        <w:rPr/>
        <w:t>Metering engineers are responsible for the 'cash register' of the utility. Their focus is on measurement accuracy, revenue security, and data integrity for billing and operational purposes.</w:t>
      </w:r>
    </w:p>
    <w:p>
      <w:pPr>
        <w:pStyle w:val="Heading3"/>
        <w:rPr/>
      </w:pPr>
      <w:bookmarkStart w:id="46" w:name="__RefHeading___Toc3141_3356913938"/>
      <w:bookmarkEnd w:id="46"/>
      <w:r>
        <w:rPr/>
        <w:t>Instrument Transformers (CTs/PTs)</w:t>
      </w:r>
    </w:p>
    <w:p>
      <w:pPr>
        <w:pStyle w:val="ListNumber"/>
        <w:numPr>
          <w:ilvl w:val="0"/>
          <w:numId w:val="19"/>
        </w:numPr>
        <w:rPr/>
      </w:pPr>
      <w:r>
        <w:rPr/>
        <w:t>What are your standard accuracy class requirements for revenue-grade CTs and PTs at medium voltage (e.g., 0.15S, 0.3)? Do you require extended range accuracy for facilities with highly variable output like solar?</w:t>
      </w:r>
    </w:p>
    <w:p>
      <w:pPr>
        <w:pStyle w:val="ListNumber"/>
        <w:numPr>
          <w:ilvl w:val="0"/>
          <w:numId w:val="4"/>
        </w:numPr>
        <w:rPr/>
      </w:pPr>
      <w:r>
        <w:rPr/>
        <w:t>What is the maximum allowable burden (in Ohms or VA) for the secondary CT circuit? What is the maximum physical distance permitted between the CTs and the meter cabinet?</w:t>
      </w:r>
    </w:p>
    <w:p>
      <w:pPr>
        <w:pStyle w:val="ListNumber"/>
        <w:numPr>
          <w:ilvl w:val="0"/>
          <w:numId w:val="4"/>
        </w:numPr>
        <w:rPr/>
      </w:pPr>
      <w:r>
        <w:rPr/>
        <w:t>What are the most common installation errors found during commissioning of CT/PT circuits that lead to inaccurate metering?</w:t>
      </w:r>
    </w:p>
    <w:p>
      <w:pPr>
        <w:pStyle w:val="Heading3"/>
        <w:rPr/>
      </w:pPr>
      <w:bookmarkStart w:id="47" w:name="__RefHeading___Toc3143_3356913938"/>
      <w:bookmarkEnd w:id="47"/>
      <w:r>
        <w:rPr/>
        <w:t>Meter and Data Requirements</w:t>
      </w:r>
    </w:p>
    <w:p>
      <w:pPr>
        <w:pStyle w:val="ListNumber"/>
        <w:numPr>
          <w:ilvl w:val="0"/>
          <w:numId w:val="20"/>
        </w:numPr>
        <w:rPr/>
      </w:pPr>
      <w:r>
        <w:rPr/>
        <w:t>What specific meter models (e.g., Landis+Gyr, Itron) are approved for use in your territory for MV primary metering?</w:t>
      </w:r>
    </w:p>
    <w:p>
      <w:pPr>
        <w:pStyle w:val="ListNumber"/>
        <w:numPr>
          <w:ilvl w:val="0"/>
          <w:numId w:val="4"/>
        </w:numPr>
        <w:rPr/>
      </w:pPr>
      <w:r>
        <w:rPr/>
        <w:t>What communication protocol (e.g., ANSI C12.22, DNP3, cellular modem) is required for the revenue meter for remote data acquisition? Is the project developer responsible for ensuring communications availability?</w:t>
      </w:r>
    </w:p>
    <w:p>
      <w:pPr>
        <w:pStyle w:val="ListNumber"/>
        <w:numPr>
          <w:ilvl w:val="0"/>
          <w:numId w:val="4"/>
        </w:numPr>
        <w:rPr/>
      </w:pPr>
      <w:r>
        <w:rPr/>
        <w:t>For a microgrid capable of import and export, are two uni-directional meters or a single bi-directional meter required? What specific data points (interval data, power quality metrics) are needed?</w:t>
      </w:r>
    </w:p>
    <w:p>
      <w:pPr>
        <w:pStyle w:val="Heading3"/>
        <w:rPr/>
      </w:pPr>
      <w:bookmarkStart w:id="48" w:name="__RefHeading___Toc3145_3356913938"/>
      <w:bookmarkEnd w:id="48"/>
      <w:r>
        <w:rPr/>
        <w:t>Net Metering and Billing</w:t>
      </w:r>
    </w:p>
    <w:p>
      <w:pPr>
        <w:pStyle w:val="ListNumber"/>
        <w:numPr>
          <w:ilvl w:val="0"/>
          <w:numId w:val="21"/>
        </w:numPr>
        <w:rPr/>
      </w:pPr>
      <w:r>
        <w:rPr/>
        <w:t>Can you walk through the specific calculations for net metering compensation in this jurisdiction, particularly how retail credits are reconciled against wholesale rate compensation at the end of an annual period?</w:t>
      </w:r>
    </w:p>
    <w:p>
      <w:pPr>
        <w:pStyle w:val="ListNumber"/>
        <w:numPr>
          <w:ilvl w:val="0"/>
          <w:numId w:val="4"/>
        </w:numPr>
        <w:rPr/>
      </w:pPr>
      <w:r>
        <w:rPr/>
        <w:t>Are there specific 'non-bypassable' charges that are not covered by net metering credits?</w:t>
      </w:r>
    </w:p>
    <w:p>
      <w:pPr>
        <w:pStyle w:val="ListNumber"/>
        <w:numPr>
          <w:ilvl w:val="0"/>
          <w:numId w:val="4"/>
        </w:numPr>
        <w:rPr/>
      </w:pPr>
      <w:r>
        <w:rPr/>
        <w:t>For a complex microgrid, how do you handle revenue attribution if there are multiple energy sources and offtakers behind a single POI?</w:t>
      </w:r>
    </w:p>
    <w:p>
      <w:pPr>
        <w:pStyle w:val="Heading2"/>
        <w:rPr/>
      </w:pPr>
      <w:bookmarkStart w:id="49" w:name="__RefHeading___Toc3147_3356913938"/>
      <w:bookmarkEnd w:id="49"/>
      <w:r>
        <w:rPr/>
        <w:t>6.3  Questions for IEEE Working Group Members (2030.7/2030.8)</w:t>
      </w:r>
    </w:p>
    <w:p>
      <w:pPr>
        <w:pStyle w:val="Normal"/>
        <w:rPr/>
      </w:pPr>
      <w:r>
        <w:rPr/>
        <w:t>These individuals are deep subject matter experts on the standards themselves. They can provide insight into the intent behind the standards and their future evolution.</w:t>
      </w:r>
    </w:p>
    <w:p>
      <w:pPr>
        <w:pStyle w:val="Heading3"/>
        <w:rPr/>
      </w:pPr>
      <w:bookmarkStart w:id="50" w:name="__RefHeading___Toc3149_3356913938"/>
      <w:bookmarkEnd w:id="50"/>
      <w:r>
        <w:rPr/>
        <w:t>Intent and Interpretation</w:t>
      </w:r>
    </w:p>
    <w:p>
      <w:pPr>
        <w:pStyle w:val="ListNumber"/>
        <w:numPr>
          <w:ilvl w:val="0"/>
          <w:numId w:val="22"/>
        </w:numPr>
        <w:rPr/>
      </w:pPr>
      <w:r>
        <w:rPr/>
        <w:t>In the development of IEEE 2030.7, what was the most debated topic regarding the functional specification of the controller, and what was the final resolution?</w:t>
      </w:r>
    </w:p>
    <w:p>
      <w:pPr>
        <w:pStyle w:val="ListNumber"/>
        <w:numPr>
          <w:ilvl w:val="0"/>
          <w:numId w:val="4"/>
        </w:numPr>
        <w:rPr/>
      </w:pPr>
      <w:r>
        <w:rPr/>
        <w:t>IEEE 2030.8 provides test procedures. In your view, what is the 'minimum viable' set of tests a developer should perform to have high confidence in their controller's compliance before going to the field?</w:t>
      </w:r>
    </w:p>
    <w:p>
      <w:pPr>
        <w:pStyle w:val="ListNumber"/>
        <w:numPr>
          <w:ilvl w:val="0"/>
          <w:numId w:val="4"/>
        </w:numPr>
        <w:rPr/>
      </w:pPr>
      <w:r>
        <w:rPr/>
        <w:t>How did the committee envision the standards being used to certify a controller? Was the intent for a formal, centralized certification program, or for the standards to be used as a framework for bilateral utility-developer agreements?</w:t>
      </w:r>
    </w:p>
    <w:p>
      <w:pPr>
        <w:pStyle w:val="Heading3"/>
        <w:rPr/>
      </w:pPr>
      <w:bookmarkStart w:id="51" w:name="__RefHeading___Toc3151_3356913938"/>
      <w:bookmarkEnd w:id="51"/>
      <w:r>
        <w:rPr/>
        <w:t>Gaps and Future Evolution</w:t>
      </w:r>
    </w:p>
    <w:p>
      <w:pPr>
        <w:pStyle w:val="ListNumber"/>
        <w:numPr>
          <w:ilvl w:val="0"/>
          <w:numId w:val="23"/>
        </w:numPr>
        <w:rPr/>
      </w:pPr>
      <w:r>
        <w:rPr/>
        <w:t>What functional gaps, if any, do you see in the current versions of 2030.7 and 2030.8 that the working group is considering for future revisions? Are cybersecurity requirements a focus area?</w:t>
      </w:r>
    </w:p>
    <w:p>
      <w:pPr>
        <w:pStyle w:val="ListNumber"/>
        <w:numPr>
          <w:ilvl w:val="0"/>
          <w:numId w:val="4"/>
        </w:numPr>
        <w:rPr/>
      </w:pPr>
      <w:r>
        <w:rPr/>
        <w:t>How do you see the relationship between the 2030.7/2030.8 standards and the IEEE 1547 series evolving, particularly as microgrids become more involved in providing grid services?</w:t>
      </w:r>
    </w:p>
    <w:p>
      <w:pPr>
        <w:pStyle w:val="ListNumber"/>
        <w:numPr>
          <w:ilvl w:val="0"/>
          <w:numId w:val="4"/>
        </w:numPr>
        <w:rPr/>
      </w:pPr>
      <w:r>
        <w:rPr/>
        <w:t>What is the biggest barrier to wider adoption and implementation of the 2030.7/2030.8 standards by utilities and project developers? Is it complexity, cost, or lack of awareness?</w:t>
      </w:r>
    </w:p>
    <w:p>
      <w:pPr>
        <w:pStyle w:val="Heading2"/>
        <w:rPr/>
      </w:pPr>
      <w:bookmarkStart w:id="52" w:name="__RefHeading___Toc3153_3356913938"/>
      <w:bookmarkEnd w:id="52"/>
      <w:r>
        <w:rPr/>
        <w:t>6.4  Key Stakeholder Identification and Engagement Strategy</w:t>
      </w:r>
    </w:p>
    <w:p>
      <w:pPr>
        <w:pStyle w:val="Normal"/>
        <w:rPr/>
      </w:pPr>
      <w:r>
        <w:rPr>
          <w:b/>
          <w:color w:val="00467F"/>
        </w:rPr>
        <w:t xml:space="preserve">▶  </w:t>
      </w:r>
      <w:r>
        <w:rPr>
          <w:b/>
          <w:color w:val="00467F"/>
        </w:rPr>
        <w:t xml:space="preserve">Utility Grid Interconnection Departments: </w:t>
      </w:r>
      <w:r>
        <w:rPr/>
        <w:t>Primary contacts for interconnection applications. Request pre-application meetings to clarify site-specific requirements before formal study submission. Key utilities: ConEd (EO-2161 process), Eversource (DER Gateway program), Dominion (DTT coordination).</w:t>
      </w:r>
    </w:p>
    <w:p>
      <w:pPr>
        <w:pStyle w:val="Normal"/>
        <w:rPr/>
      </w:pPr>
      <w:r>
        <w:rPr>
          <w:b/>
          <w:color w:val="00467F"/>
        </w:rPr>
        <w:t xml:space="preserve">▶  </w:t>
      </w:r>
      <w:r>
        <w:rPr>
          <w:b/>
          <w:color w:val="00467F"/>
        </w:rPr>
        <w:t xml:space="preserve">IEEE 2030.7/2030.8 Working Group: </w:t>
      </w:r>
      <w:r>
        <w:rPr/>
        <w:t>Attend IEEE PES meetings and working group sessions. Participate in standard revision discussions to stay ahead of requirement changes. Consider sponsoring or co-authoring technical papers on CHIL testing methodologies.</w:t>
      </w:r>
    </w:p>
    <w:p>
      <w:pPr>
        <w:pStyle w:val="Normal"/>
        <w:rPr/>
      </w:pPr>
      <w:r>
        <w:rPr>
          <w:b/>
          <w:color w:val="00467F"/>
        </w:rPr>
        <w:t xml:space="preserve">▶  </w:t>
      </w:r>
      <w:r>
        <w:rPr>
          <w:b/>
          <w:color w:val="00467F"/>
        </w:rPr>
        <w:t xml:space="preserve">State Public Utility Commissions (PUCs): </w:t>
      </w:r>
      <w:r>
        <w:rPr/>
        <w:t>Monitor dockets for IEEE 1547-2018 implementation proceedings in target states (NY PSC, MA DPU, CT PURA, VA SCC, NJ BPU). File comments where Delta's technical perspective can shape requirements.</w:t>
      </w:r>
    </w:p>
    <w:p>
      <w:pPr>
        <w:pStyle w:val="Normal"/>
        <w:rPr/>
      </w:pPr>
      <w:r>
        <w:rPr>
          <w:b/>
          <w:color w:val="00467F"/>
        </w:rPr>
        <w:t xml:space="preserve">▶  </w:t>
      </w:r>
      <w:r>
        <w:rPr>
          <w:b/>
          <w:color w:val="00467F"/>
        </w:rPr>
        <w:t xml:space="preserve">NREL and National Labs: </w:t>
      </w:r>
      <w:r>
        <w:rPr/>
        <w:t>Engage with NREL's microgrid research programs. Potential partnership opportunities for CHIL test program development and validation methodology co-development.</w:t>
      </w:r>
    </w:p>
    <w:p>
      <w:pPr>
        <w:pStyle w:val="Normal"/>
        <w:rPr/>
      </w:pPr>
      <w:r>
        <w:rPr>
          <w:b/>
          <w:color w:val="00467F"/>
        </w:rPr>
        <w:t xml:space="preserve">▶  </w:t>
      </w:r>
      <w:r>
        <w:rPr>
          <w:b/>
          <w:color w:val="00467F"/>
        </w:rPr>
        <w:t xml:space="preserve">RTO/ISO Technical Committees: </w:t>
      </w:r>
      <w:r>
        <w:rPr/>
        <w:t>Participate in PJM, NYISO, and ISO-NE stakeholder processes for DER interconnection requirements updates. These forums provide advance notice of evolving technical mandates.</w:t>
      </w:r>
      <w:r>
        <w:br w:type="page"/>
      </w:r>
    </w:p>
    <w:p>
      <w:pPr>
        <w:pStyle w:val="Heading1"/>
        <w:spacing w:before="0" w:after="160"/>
        <w:rPr/>
      </w:pPr>
      <w:bookmarkStart w:id="53" w:name="__RefHeading___Toc3155_3356913938"/>
      <w:bookmarkEnd w:id="53"/>
      <w:r>
        <w:rPr/>
        <w:t>Section 7: Consolidated Gap Analysis</w:t>
      </w:r>
    </w:p>
    <w:p>
      <w:pPr>
        <w:pStyle w:val="Normal"/>
        <w:rPr/>
      </w:pPr>
      <w:r>
        <w:rPr/>
        <w:t>This section consolidates the findings from all preceding sections into a comprehensive gap analysis framework. It identifies specific technical and compliance gaps Delta must address, assesses the risk of each unmitigated gap, and provides prioritized mitigation strategies. The analysis is organized by gap category with a risk severity rating.</w:t>
      </w:r>
    </w:p>
    <w:p>
      <w:pPr>
        <w:pStyle w:val="Heading2"/>
        <w:rPr/>
      </w:pPr>
      <w:bookmarkStart w:id="54" w:name="__RefHeading___Toc3157_3356913938"/>
      <w:bookmarkEnd w:id="54"/>
      <w:r>
        <w:rPr/>
        <w:t>7.1  Technical Compliance Gaps Summary</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872"/>
        <w:gridCol w:w="1872"/>
        <w:gridCol w:w="1872"/>
        <w:gridCol w:w="1872"/>
        <w:gridCol w:w="1872"/>
      </w:tblGrid>
      <w:tr>
        <w:trPr/>
        <w:tc>
          <w:tcPr>
            <w:tcW w:w="1872"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Gap Category</w:t>
            </w:r>
          </w:p>
        </w:tc>
        <w:tc>
          <w:tcPr>
            <w:tcW w:w="1872"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Description</w:t>
            </w:r>
          </w:p>
        </w:tc>
        <w:tc>
          <w:tcPr>
            <w:tcW w:w="1872"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Affected Utilities / RTOs</w:t>
            </w:r>
          </w:p>
        </w:tc>
        <w:tc>
          <w:tcPr>
            <w:tcW w:w="1872"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Risk Level</w:t>
            </w:r>
          </w:p>
        </w:tc>
        <w:tc>
          <w:tcPr>
            <w:tcW w:w="1872"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Mitigation Priority</w:t>
            </w:r>
          </w:p>
        </w:tc>
      </w:tr>
      <w:tr>
        <w:trPr/>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Controller Adaptability</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Controller uses 'one-size-fits-all' configuration lacking flexibility for utility-specific protection, control, and communication mandates.</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All utilities</w:t>
            </w:r>
          </w:p>
        </w:tc>
        <w:tc>
          <w:tcPr>
            <w:tcW w:w="1872"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C00000"/>
                <w:kern w:val="0"/>
                <w:szCs w:val="22"/>
                <w:lang w:val="en-US" w:eastAsia="en-US" w:bidi="ar-SA"/>
              </w:rPr>
              <w:t>High</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1 — Immediate</w:t>
            </w:r>
          </w:p>
        </w:tc>
      </w:tr>
      <w:tr>
        <w:trPr/>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DTT/CAT Integration</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Controller lacks built-in hardware I/O and software logic for Direct Transfer Trip (DTT) or Communications Aided Tripping (CAT) scheme integration.</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ConEd, Dominion</w:t>
            </w:r>
          </w:p>
        </w:tc>
        <w:tc>
          <w:tcPr>
            <w:tcW w:w="1872"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C00000"/>
                <w:kern w:val="0"/>
                <w:szCs w:val="22"/>
                <w:lang w:val="en-US" w:eastAsia="en-US" w:bidi="ar-SA"/>
              </w:rPr>
              <w:t>High</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1 — Immediate</w:t>
            </w:r>
          </w:p>
        </w:tc>
      </w:tr>
      <w:tr>
        <w:trPr/>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SCADA Protocol Mismatch</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Primary controller communication (e.g., Modbus TCP) does not match utility-required SCADA protocol (DNP3). No certified protocol converter available.</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Eversource, ConEd</w:t>
            </w:r>
          </w:p>
        </w:tc>
        <w:tc>
          <w:tcPr>
            <w:tcW w:w="1872"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8C00"/>
                <w:kern w:val="0"/>
                <w:szCs w:val="22"/>
                <w:lang w:val="en-US" w:eastAsia="en-US" w:bidi="ar-SA"/>
              </w:rPr>
              <w:t>Medium</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2 — Near-Term</w:t>
            </w:r>
          </w:p>
        </w:tc>
      </w:tr>
      <w:tr>
        <w:trPr/>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Testing Evidence Deficit</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Absence of verifiable CHIL-based test reports. No formal IEEE 2030.8 compliance documentation. Utility engineers have no quantifiable performance basis.</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All utilities</w:t>
            </w:r>
          </w:p>
        </w:tc>
        <w:tc>
          <w:tcPr>
            <w:tcW w:w="1872"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C00000"/>
                <w:kern w:val="0"/>
                <w:szCs w:val="22"/>
                <w:lang w:val="en-US" w:eastAsia="en-US" w:bidi="ar-SA"/>
              </w:rPr>
              <w:t>High</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1 — Immediate</w:t>
            </w:r>
          </w:p>
        </w:tc>
      </w:tr>
      <w:tr>
        <w:trPr/>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UL 1741-SB / UL 9540 Certification</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UL 1741 SB and UL 9540 certification status of integrated DER components not fully confirmed for all East Coast utility requirements.</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NYISO, ISO-NE, all utilities</w:t>
            </w:r>
          </w:p>
        </w:tc>
        <w:tc>
          <w:tcPr>
            <w:tcW w:w="1872"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C00000"/>
                <w:kern w:val="0"/>
                <w:szCs w:val="22"/>
                <w:lang w:val="en-US" w:eastAsia="en-US" w:bidi="ar-SA"/>
              </w:rPr>
              <w:t>High</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1 — Immediate</w:t>
            </w:r>
          </w:p>
        </w:tc>
      </w:tr>
      <w:tr>
        <w:trPr/>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Metering Expertise Gap</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Project team lacks deep expertise in utility-specific revenue metering: CT/PT selection, burden calculations, utility-approved wiring standards.</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ConEd, Eversource, PSE&amp;G</w:t>
            </w:r>
          </w:p>
        </w:tc>
        <w:tc>
          <w:tcPr>
            <w:tcW w:w="1872"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C00000"/>
                <w:kern w:val="0"/>
                <w:szCs w:val="22"/>
                <w:lang w:val="en-US" w:eastAsia="en-US" w:bidi="ar-SA"/>
              </w:rPr>
              <w:t>High</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2 — Near-Term</w:t>
            </w:r>
          </w:p>
        </w:tc>
      </w:tr>
      <w:tr>
        <w:trPr/>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Volt-VAR Implementation</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Configurable Q(V) Volt-VAR curves not implemented in current controller software architecture.</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NYISO, ISO-NE</w:t>
            </w:r>
          </w:p>
        </w:tc>
        <w:tc>
          <w:tcPr>
            <w:tcW w:w="1872"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8C00"/>
                <w:kern w:val="0"/>
                <w:szCs w:val="22"/>
                <w:lang w:val="en-US" w:eastAsia="en-US" w:bidi="ar-SA"/>
              </w:rPr>
              <w:t>Medium</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2 — Near-Term</w:t>
            </w:r>
          </w:p>
        </w:tc>
      </w:tr>
      <w:tr>
        <w:trPr/>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Black Start Logic</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Black start sequencing and sequential load restoration logic not formalized in controller software.</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Resilience-focused projects</w:t>
            </w:r>
          </w:p>
        </w:tc>
        <w:tc>
          <w:tcPr>
            <w:tcW w:w="1872"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007030"/>
                <w:kern w:val="0"/>
                <w:szCs w:val="22"/>
                <w:lang w:val="en-US" w:eastAsia="en-US" w:bidi="ar-SA"/>
              </w:rPr>
              <w:t>Low</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3 — Medium-Term</w:t>
            </w:r>
          </w:p>
        </w:tc>
      </w:tr>
      <w:tr>
        <w:trPr/>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Regulatory Tariff Knowledge</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Team may not fully understand net metering compensation structures and non-bypassable charges, leading to inaccurate customer financial models.</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All states</w:t>
            </w:r>
          </w:p>
        </w:tc>
        <w:tc>
          <w:tcPr>
            <w:tcW w:w="1872"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8C00"/>
                <w:kern w:val="0"/>
                <w:szCs w:val="22"/>
                <w:lang w:val="en-US" w:eastAsia="en-US" w:bidi="ar-SA"/>
              </w:rPr>
              <w:t>Medium</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2 — Near-Term</w:t>
            </w:r>
          </w:p>
        </w:tc>
      </w:tr>
      <w:tr>
        <w:trPr/>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Cybersecurity Requirements</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Emerging utility cybersecurity mandates (e.g., NERC CIP considerations for DER) not formally assessed against controller architecture.</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All utilities</w:t>
            </w:r>
          </w:p>
        </w:tc>
        <w:tc>
          <w:tcPr>
            <w:tcW w:w="1872"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8C00"/>
                <w:kern w:val="0"/>
                <w:szCs w:val="22"/>
                <w:lang w:val="en-US" w:eastAsia="en-US" w:bidi="ar-SA"/>
              </w:rPr>
              <w:t>Medium</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3 — Medium-Term</w:t>
            </w:r>
          </w:p>
        </w:tc>
      </w:tr>
    </w:tbl>
    <w:p>
      <w:pPr>
        <w:pStyle w:val="Heading2"/>
        <w:rPr/>
      </w:pPr>
      <w:bookmarkStart w:id="55" w:name="__RefHeading___Toc3159_3356913938"/>
      <w:bookmarkEnd w:id="55"/>
      <w:r>
        <w:rPr/>
        <w:t>7.2  Risk Assessment Framework</w:t>
      </w:r>
    </w:p>
    <w:p>
      <w:pPr>
        <w:pStyle w:val="Normal"/>
        <w:rPr/>
      </w:pPr>
      <w:r>
        <w:rPr/>
        <w:t>The following risk matrix maps each gap category against two dimensions: probability of the gap causing a material project impact, and the severity of that impact if it occurs.</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340"/>
        <w:gridCol w:w="2340"/>
        <w:gridCol w:w="2340"/>
        <w:gridCol w:w="2340"/>
      </w:tblGrid>
      <w:tr>
        <w:trPr/>
        <w:tc>
          <w:tcPr>
            <w:tcW w:w="2340" w:type="dxa"/>
            <w:tcBorders/>
            <w:shd w:color="auto" w:fill="D0D0D0"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kern w:val="0"/>
                <w:szCs w:val="22"/>
                <w:lang w:val="en-US" w:eastAsia="en-US" w:bidi="ar-SA"/>
              </w:rPr>
              <w:t>Probability \ Severity →</w:t>
            </w:r>
          </w:p>
        </w:tc>
        <w:tc>
          <w:tcPr>
            <w:tcW w:w="2340" w:type="dxa"/>
            <w:tcBorders/>
            <w:shd w:color="auto" w:fill="D0D0D0"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kern w:val="0"/>
                <w:szCs w:val="22"/>
                <w:lang w:val="en-US" w:eastAsia="en-US" w:bidi="ar-SA"/>
              </w:rPr>
              <w:t>Low Impact</w:t>
            </w:r>
          </w:p>
        </w:tc>
        <w:tc>
          <w:tcPr>
            <w:tcW w:w="2340" w:type="dxa"/>
            <w:tcBorders/>
            <w:shd w:color="auto" w:fill="D0D0D0"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kern w:val="0"/>
                <w:szCs w:val="22"/>
                <w:lang w:val="en-US" w:eastAsia="en-US" w:bidi="ar-SA"/>
              </w:rPr>
              <w:t>Medium Impact</w:t>
            </w:r>
          </w:p>
        </w:tc>
        <w:tc>
          <w:tcPr>
            <w:tcW w:w="2340" w:type="dxa"/>
            <w:tcBorders/>
            <w:shd w:color="auto" w:fill="D0D0D0"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kern w:val="0"/>
                <w:szCs w:val="22"/>
                <w:lang w:val="en-US" w:eastAsia="en-US" w:bidi="ar-SA"/>
              </w:rPr>
              <w:t>High Impact</w:t>
            </w:r>
          </w:p>
        </w:tc>
      </w:tr>
      <w:tr>
        <w:trPr/>
        <w:tc>
          <w:tcPr>
            <w:tcW w:w="234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kern w:val="0"/>
                <w:szCs w:val="22"/>
                <w:lang w:val="en-US" w:eastAsia="en-US" w:bidi="ar-SA"/>
              </w:rPr>
              <w:t>High Probability</w:t>
            </w:r>
          </w:p>
        </w:tc>
        <w:tc>
          <w:tcPr>
            <w:tcW w:w="2340" w:type="dxa"/>
            <w:tcBorders/>
            <w:shd w:color="auto" w:fill="E2EFDA"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Cs w:val="22"/>
                <w:lang w:val="en-US" w:eastAsia="en-US" w:bidi="ar-SA"/>
              </w:rPr>
              <w:t>—</w:t>
            </w:r>
          </w:p>
        </w:tc>
        <w:tc>
          <w:tcPr>
            <w:tcW w:w="2340" w:type="dxa"/>
            <w:tcBorders/>
            <w:shd w:color="auto" w:fill="FFF2CC"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Cs w:val="22"/>
                <w:lang w:val="en-US" w:eastAsia="en-US" w:bidi="ar-SA"/>
              </w:rPr>
              <w:t>Regulatory/Tariff Knowledge</w:t>
              <w:br/>
              <w:t>Cybersecurity Requirements</w:t>
            </w:r>
          </w:p>
        </w:tc>
        <w:tc>
          <w:tcPr>
            <w:tcW w:w="2340" w:type="dxa"/>
            <w:tcBorders/>
            <w:shd w:color="auto" w:fill="FCE4D6"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Cs w:val="22"/>
                <w:lang w:val="en-US" w:eastAsia="en-US" w:bidi="ar-SA"/>
              </w:rPr>
              <w:t>Controller Adaptability</w:t>
              <w:br/>
              <w:t>Testing Evidence Deficit</w:t>
              <w:br/>
              <w:t>UL Certification</w:t>
              <w:br/>
              <w:t>DTT/CAT Integration</w:t>
            </w:r>
          </w:p>
        </w:tc>
      </w:tr>
      <w:tr>
        <w:trPr/>
        <w:tc>
          <w:tcPr>
            <w:tcW w:w="234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kern w:val="0"/>
                <w:szCs w:val="22"/>
                <w:lang w:val="en-US" w:eastAsia="en-US" w:bidi="ar-SA"/>
              </w:rPr>
              <w:t>Medium Probability</w:t>
            </w:r>
          </w:p>
        </w:tc>
        <w:tc>
          <w:tcPr>
            <w:tcW w:w="2340" w:type="dxa"/>
            <w:tcBorders/>
            <w:shd w:color="auto" w:fill="E2EFDA"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Cs w:val="22"/>
                <w:lang w:val="en-US" w:eastAsia="en-US" w:bidi="ar-SA"/>
              </w:rPr>
              <w:t>Black Start Logic</w:t>
            </w:r>
          </w:p>
        </w:tc>
        <w:tc>
          <w:tcPr>
            <w:tcW w:w="2340" w:type="dxa"/>
            <w:tcBorders/>
            <w:shd w:color="auto" w:fill="FFF2CC"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Cs w:val="22"/>
                <w:lang w:val="en-US" w:eastAsia="en-US" w:bidi="ar-SA"/>
              </w:rPr>
              <w:t>SCADA Protocol</w:t>
              <w:br/>
              <w:t>Volt-VAR Implementation</w:t>
            </w:r>
          </w:p>
        </w:tc>
        <w:tc>
          <w:tcPr>
            <w:tcW w:w="2340" w:type="dxa"/>
            <w:tcBorders/>
            <w:shd w:color="auto" w:fill="FCE4D6"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Cs w:val="22"/>
                <w:lang w:val="en-US" w:eastAsia="en-US" w:bidi="ar-SA"/>
              </w:rPr>
              <w:t>Metering Expertise</w:t>
            </w:r>
          </w:p>
        </w:tc>
      </w:tr>
      <w:tr>
        <w:trPr/>
        <w:tc>
          <w:tcPr>
            <w:tcW w:w="234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kern w:val="0"/>
                <w:szCs w:val="22"/>
                <w:lang w:val="en-US" w:eastAsia="en-US" w:bidi="ar-SA"/>
              </w:rPr>
              <w:t>Low Probability</w:t>
            </w:r>
          </w:p>
        </w:tc>
        <w:tc>
          <w:tcPr>
            <w:tcW w:w="2340" w:type="dxa"/>
            <w:tcBorders/>
            <w:shd w:color="auto" w:fill="E2EFDA"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Cs w:val="22"/>
                <w:lang w:val="en-US" w:eastAsia="en-US" w:bidi="ar-SA"/>
              </w:rPr>
              <w:t>—</w:t>
            </w:r>
          </w:p>
        </w:tc>
        <w:tc>
          <w:tcPr>
            <w:tcW w:w="2340" w:type="dxa"/>
            <w:tcBorders/>
            <w:shd w:color="auto" w:fill="FFF2CC"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Cs w:val="22"/>
                <w:lang w:val="en-US" w:eastAsia="en-US" w:bidi="ar-SA"/>
              </w:rPr>
              <w:t>—</w:t>
            </w:r>
          </w:p>
        </w:tc>
        <w:tc>
          <w:tcPr>
            <w:tcW w:w="2340" w:type="dxa"/>
            <w:tcBorders/>
            <w:shd w:color="auto" w:fill="FCE4D6"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Cs w:val="22"/>
                <w:lang w:val="en-US" w:eastAsia="en-US" w:bidi="ar-SA"/>
              </w:rPr>
              <w:t>—</w:t>
            </w:r>
          </w:p>
        </w:tc>
      </w:tr>
    </w:tbl>
    <w:p>
      <w:pPr>
        <w:pStyle w:val="Heading2"/>
        <w:rPr/>
      </w:pPr>
      <w:bookmarkStart w:id="56" w:name="__RefHeading___Toc3161_3356913938"/>
      <w:bookmarkEnd w:id="56"/>
      <w:r>
        <w:rPr/>
        <w:t>7.3  Prioritized Mitigation Actions</w:t>
      </w:r>
    </w:p>
    <w:p>
      <w:pPr>
        <w:pStyle w:val="Normal"/>
        <w:rPr/>
      </w:pPr>
      <w:r>
        <w:rPr>
          <w:b/>
          <w:color w:val="C00000"/>
          <w:sz w:val="22"/>
        </w:rPr>
        <w:t xml:space="preserve">◆ </w:t>
      </w:r>
      <w:r>
        <w:rPr>
          <w:b/>
          <w:color w:val="C00000"/>
          <w:sz w:val="22"/>
        </w:rPr>
        <w:t>Priority 1 – Immediate (0–6 months)</w:t>
      </w:r>
    </w:p>
    <w:p>
      <w:pPr>
        <w:pStyle w:val="ListBullet"/>
        <w:numPr>
          <w:ilvl w:val="0"/>
          <w:numId w:val="1"/>
        </w:numPr>
        <w:ind w:hanging="360" w:start="360"/>
        <w:rPr/>
      </w:pPr>
      <w:r>
        <w:rPr/>
        <w:t>Initiate CHIL testbed procurement (OPAL-RT or equivalent) and begin building virtual utility feeder library</w:t>
      </w:r>
    </w:p>
    <w:p>
      <w:pPr>
        <w:pStyle w:val="ListBullet"/>
        <w:numPr>
          <w:ilvl w:val="0"/>
          <w:numId w:val="1"/>
        </w:numPr>
        <w:ind w:hanging="360" w:start="360"/>
        <w:rPr/>
      </w:pPr>
      <w:r>
        <w:rPr/>
        <w:t>Audit all integrated DER components for UL 1741-SB and UL 9540 certification status; identify gaps</w:t>
      </w:r>
    </w:p>
    <w:p>
      <w:pPr>
        <w:pStyle w:val="ListBullet"/>
        <w:numPr>
          <w:ilvl w:val="0"/>
          <w:numId w:val="1"/>
        </w:numPr>
        <w:ind w:hanging="360" w:start="360"/>
        <w:rPr/>
      </w:pPr>
      <w:r>
        <w:rPr/>
        <w:t>Design and prototype DTT/CAT hardware interface module for Delta controller</w:t>
      </w:r>
    </w:p>
    <w:p>
      <w:pPr>
        <w:pStyle w:val="ListBullet"/>
        <w:numPr>
          <w:ilvl w:val="0"/>
          <w:numId w:val="1"/>
        </w:numPr>
        <w:ind w:hanging="360" w:start="360"/>
        <w:rPr/>
      </w:pPr>
      <w:r>
        <w:rPr/>
        <w:t>Develop software architecture for utility-configurable 'Utility Profile' system in controller</w:t>
      </w:r>
    </w:p>
    <w:p>
      <w:pPr>
        <w:pStyle w:val="ListBullet"/>
        <w:numPr>
          <w:ilvl w:val="0"/>
          <w:numId w:val="1"/>
        </w:numPr>
        <w:ind w:hanging="360" w:start="360"/>
        <w:rPr/>
      </w:pPr>
      <w:r>
        <w:rPr/>
        <w:t>Hire senior metering engineer with East Coast utility experience</w:t>
      </w:r>
    </w:p>
    <w:p>
      <w:pPr>
        <w:pStyle w:val="Normal"/>
        <w:rPr/>
      </w:pPr>
      <w:r>
        <w:rPr>
          <w:b/>
          <w:color w:val="FF8C00"/>
          <w:sz w:val="22"/>
        </w:rPr>
        <w:t xml:space="preserve">◆ </w:t>
      </w:r>
      <w:r>
        <w:rPr>
          <w:b/>
          <w:color w:val="FF8C00"/>
          <w:sz w:val="22"/>
        </w:rPr>
        <w:t>Priority 2 – Near-Term (6–12 months)</w:t>
      </w:r>
    </w:p>
    <w:p>
      <w:pPr>
        <w:pStyle w:val="ListBullet"/>
        <w:numPr>
          <w:ilvl w:val="0"/>
          <w:numId w:val="1"/>
        </w:numPr>
        <w:ind w:hanging="360" w:start="360"/>
        <w:rPr/>
      </w:pPr>
      <w:r>
        <w:rPr/>
        <w:t>Complete first three CHIL test suites (UPI, DTT, Resynchronization) for ConEd and Eversource profiles</w:t>
      </w:r>
    </w:p>
    <w:p>
      <w:pPr>
        <w:pStyle w:val="ListBullet"/>
        <w:numPr>
          <w:ilvl w:val="0"/>
          <w:numId w:val="1"/>
        </w:numPr>
        <w:ind w:hanging="360" w:start="360"/>
        <w:rPr/>
      </w:pPr>
      <w:r>
        <w:rPr/>
        <w:t>Implement DNP3 protocol stack in controller or source certified protocol gateway</w:t>
      </w:r>
    </w:p>
    <w:p>
      <w:pPr>
        <w:pStyle w:val="ListBullet"/>
        <w:numPr>
          <w:ilvl w:val="0"/>
          <w:numId w:val="1"/>
        </w:numPr>
        <w:ind w:hanging="360" w:start="360"/>
        <w:rPr/>
      </w:pPr>
      <w:r>
        <w:rPr/>
        <w:t>Implement configurable Volt-VAR (Q(V)) curves meeting NYISO and ISO-NE requirements</w:t>
      </w:r>
    </w:p>
    <w:p>
      <w:pPr>
        <w:pStyle w:val="ListBullet"/>
        <w:numPr>
          <w:ilvl w:val="0"/>
          <w:numId w:val="1"/>
        </w:numPr>
        <w:ind w:hanging="360" w:start="360"/>
        <w:rPr/>
      </w:pPr>
      <w:r>
        <w:rPr/>
        <w:t>Develop pre-approved metering design packages for ConEd, Eversource, and PSE&amp;G</w:t>
      </w:r>
    </w:p>
    <w:p>
      <w:pPr>
        <w:pStyle w:val="ListBullet"/>
        <w:numPr>
          <w:ilvl w:val="0"/>
          <w:numId w:val="1"/>
        </w:numPr>
        <w:ind w:hanging="360" w:start="360"/>
        <w:rPr/>
      </w:pPr>
      <w:r>
        <w:rPr/>
        <w:t>Build compliance documentation library (test reports, certifications, metering drawings)</w:t>
      </w:r>
    </w:p>
    <w:p>
      <w:pPr>
        <w:pStyle w:val="Normal"/>
        <w:rPr/>
      </w:pPr>
      <w:r>
        <w:rPr>
          <w:b/>
          <w:color w:val="007030"/>
          <w:sz w:val="22"/>
        </w:rPr>
        <w:t xml:space="preserve">◆ </w:t>
      </w:r>
      <w:r>
        <w:rPr>
          <w:b/>
          <w:color w:val="007030"/>
          <w:sz w:val="22"/>
        </w:rPr>
        <w:t>Priority 3 – Medium-Term (12–24 months)</w:t>
      </w:r>
    </w:p>
    <w:p>
      <w:pPr>
        <w:pStyle w:val="ListBullet"/>
        <w:numPr>
          <w:ilvl w:val="0"/>
          <w:numId w:val="1"/>
        </w:numPr>
        <w:ind w:hanging="360" w:start="360"/>
        <w:rPr/>
      </w:pPr>
      <w:r>
        <w:rPr/>
        <w:t>Expand CHIL test library to cover all target utilities (Dominion, Duke, National Grid)</w:t>
      </w:r>
    </w:p>
    <w:p>
      <w:pPr>
        <w:pStyle w:val="ListBullet"/>
        <w:numPr>
          <w:ilvl w:val="0"/>
          <w:numId w:val="1"/>
        </w:numPr>
        <w:ind w:hanging="360" w:start="360"/>
        <w:rPr/>
      </w:pPr>
      <w:r>
        <w:rPr/>
        <w:t>Formalize black start sequencing logic and test protocol</w:t>
      </w:r>
    </w:p>
    <w:p>
      <w:pPr>
        <w:pStyle w:val="ListBullet"/>
        <w:numPr>
          <w:ilvl w:val="0"/>
          <w:numId w:val="1"/>
        </w:numPr>
        <w:ind w:hanging="360" w:start="360"/>
        <w:rPr/>
      </w:pPr>
      <w:r>
        <w:rPr/>
        <w:t>Conduct cybersecurity architecture review against emerging NERC CIP DER requirements</w:t>
      </w:r>
    </w:p>
    <w:p>
      <w:pPr>
        <w:pStyle w:val="ListBullet"/>
        <w:numPr>
          <w:ilvl w:val="0"/>
          <w:numId w:val="1"/>
        </w:numPr>
        <w:ind w:hanging="360" w:start="360"/>
        <w:rPr/>
      </w:pPr>
      <w:r>
        <w:rPr/>
        <w:t>Establish recurring tariff monitoring process for net metering rule changes in target states</w:t>
      </w:r>
    </w:p>
    <w:p>
      <w:pPr>
        <w:pStyle w:val="ListBullet"/>
        <w:numPr>
          <w:ilvl w:val="0"/>
          <w:numId w:val="1"/>
        </w:numPr>
        <w:ind w:hanging="360" w:start="360"/>
        <w:rPr/>
      </w:pPr>
      <w:r>
        <w:rPr/>
        <w:t>Complete UL panel listing for standard Delta controller enclosure</w:t>
      </w:r>
      <w:r>
        <w:br w:type="page"/>
      </w:r>
    </w:p>
    <w:p>
      <w:pPr>
        <w:pStyle w:val="Heading1"/>
        <w:spacing w:before="0" w:after="160"/>
        <w:rPr/>
      </w:pPr>
      <w:bookmarkStart w:id="57" w:name="__RefHeading___Toc3163_3356913938"/>
      <w:bookmarkEnd w:id="57"/>
      <w:r>
        <w:rPr/>
        <w:t>Section 8: Strategic Recommendations &amp; Implementation Roadmap</w:t>
      </w:r>
    </w:p>
    <w:p>
      <w:pPr>
        <w:pStyle w:val="Normal"/>
        <w:rPr/>
      </w:pPr>
      <w:r>
        <w:rPr/>
        <w:t>This section presents Delta's go-forward strategy to transform the identified compliance gaps into durable competitive advantages. By investing in the capabilities outlined below, Delta can shift from a reactive, project-by-project compliance posture to a proactive, system-based approach that differentiates it as the technically superior microgrid integrator in East Coast markets.</w:t>
      </w:r>
    </w:p>
    <w:p>
      <w:pPr>
        <w:pStyle w:val="Heading2"/>
        <w:rPr/>
      </w:pPr>
      <w:bookmarkStart w:id="58" w:name="__RefHeading___Toc3165_3356913938"/>
      <w:bookmarkEnd w:id="58"/>
      <w:r>
        <w:rPr/>
        <w:t>8.1  Strategic Recommendation 1: Utility Profile Architecture</w:t>
      </w:r>
    </w:p>
    <w:p>
      <w:pPr>
        <w:pStyle w:val="Normal"/>
        <w:rPr/>
      </w:pPr>
      <w:r>
        <w:rPr/>
        <w:t>Invest in a software architecture that enables creation and deployment of 'Utility Profiles'—pre-configured sets of parameters, logic, and communication mappings specific to each utility. Examples: 'Eversource ≥ 500 kW,' 'ConEd Network CAT,' 'NYISO Default SIR.'</w:t>
      </w:r>
    </w:p>
    <w:p>
      <w:pPr>
        <w:pStyle w:val="ListBullet"/>
        <w:numPr>
          <w:ilvl w:val="0"/>
          <w:numId w:val="1"/>
        </w:numPr>
        <w:ind w:hanging="360" w:start="360"/>
        <w:rPr/>
      </w:pPr>
      <w:r>
        <w:rPr/>
        <w:t>For each target utility, create a detailed technical profile document based on this report and direct utility engagement</w:t>
      </w:r>
    </w:p>
    <w:p>
      <w:pPr>
        <w:pStyle w:val="ListBullet"/>
        <w:numPr>
          <w:ilvl w:val="0"/>
          <w:numId w:val="1"/>
        </w:numPr>
        <w:ind w:hanging="360" w:start="360"/>
        <w:rPr/>
      </w:pPr>
      <w:r>
        <w:rPr/>
        <w:t>Implement a software framework in the Delta controller to store, version, and deploy these profiles</w:t>
      </w:r>
    </w:p>
    <w:p>
      <w:pPr>
        <w:pStyle w:val="ListBullet"/>
        <w:numPr>
          <w:ilvl w:val="0"/>
          <w:numId w:val="1"/>
        </w:numPr>
        <w:ind w:hanging="360" w:start="360"/>
        <w:rPr/>
      </w:pPr>
      <w:r>
        <w:rPr/>
        <w:t>Market message: 'Our controller comes pre-configured and pre-validated for your utility'</w:t>
      </w:r>
    </w:p>
    <w:p>
      <w:pPr>
        <w:pStyle w:val="ListBullet"/>
        <w:numPr>
          <w:ilvl w:val="0"/>
          <w:numId w:val="1"/>
        </w:numPr>
        <w:ind w:hanging="360" w:start="360"/>
        <w:rPr/>
      </w:pPr>
      <w:r>
        <w:rPr/>
        <w:t>Validate each profile via CHIL testing before deployment to any live project</w:t>
      </w:r>
    </w:p>
    <w:p>
      <w:pPr>
        <w:pStyle w:val="Heading2"/>
        <w:rPr/>
      </w:pPr>
      <w:bookmarkStart w:id="59" w:name="__RefHeading___Toc3167_3356913938"/>
      <w:bookmarkEnd w:id="59"/>
      <w:r>
        <w:rPr/>
        <w:t>8.2  Strategic Recommendation 2: In-House CHIL Testbed</w:t>
      </w:r>
    </w:p>
    <w:p>
      <w:pPr>
        <w:pStyle w:val="Normal"/>
        <w:rPr/>
      </w:pPr>
      <w:r>
        <w:rPr/>
        <w:t>Establish a dedicated CHIL laboratory to serve as Delta's primary IEEE 2030.8 compliance verification engine. This is the single highest-ROI investment Delta can make.</w:t>
      </w:r>
    </w:p>
    <w:p>
      <w:pPr>
        <w:pStyle w:val="ListBullet"/>
        <w:numPr>
          <w:ilvl w:val="0"/>
          <w:numId w:val="1"/>
        </w:numPr>
        <w:ind w:hanging="360" w:start="360"/>
        <w:rPr/>
      </w:pPr>
      <w:r>
        <w:rPr/>
        <w:t>Procure a real-time digital simulator (e.g., OPAL-RT OP4510 or similar) and necessary I/O interface hardware (~$80,000–$150,000 capital)</w:t>
      </w:r>
    </w:p>
    <w:p>
      <w:pPr>
        <w:pStyle w:val="ListBullet"/>
        <w:numPr>
          <w:ilvl w:val="0"/>
          <w:numId w:val="1"/>
        </w:numPr>
        <w:ind w:hanging="360" w:start="360"/>
        <w:rPr/>
      </w:pPr>
      <w:r>
        <w:rPr/>
        <w:t>Build a library of virtual utility feeder models for each target utility (ConEd, Eversource, Dominion, NYISO, ISO-NE feeder models)</w:t>
      </w:r>
    </w:p>
    <w:p>
      <w:pPr>
        <w:pStyle w:val="ListBullet"/>
        <w:numPr>
          <w:ilvl w:val="0"/>
          <w:numId w:val="1"/>
        </w:numPr>
        <w:ind w:hanging="360" w:start="360"/>
        <w:rPr/>
      </w:pPr>
      <w:r>
        <w:rPr/>
        <w:t>Implement automated regression testing suite for every controller software release</w:t>
      </w:r>
    </w:p>
    <w:p>
      <w:pPr>
        <w:pStyle w:val="ListBullet"/>
        <w:numPr>
          <w:ilvl w:val="0"/>
          <w:numId w:val="1"/>
        </w:numPr>
        <w:ind w:hanging="360" w:start="360"/>
        <w:rPr/>
      </w:pPr>
      <w:r>
        <w:rPr/>
        <w:t>Produce 'validation reports' demonstrating controller compliance with specific utility requirements—deliverable with every interconnection application</w:t>
      </w:r>
    </w:p>
    <w:p>
      <w:pPr>
        <w:pStyle w:val="ListBullet"/>
        <w:numPr>
          <w:ilvl w:val="0"/>
          <w:numId w:val="1"/>
        </w:numPr>
        <w:ind w:hanging="360" w:start="360"/>
        <w:rPr/>
      </w:pPr>
      <w:r>
        <w:rPr/>
        <w:t>Strategic outcome: 'Arsenal of evidence' that eliminates utility uncertainty and shortens interconnection review timelines</w:t>
      </w:r>
    </w:p>
    <w:p>
      <w:pPr>
        <w:pStyle w:val="Heading2"/>
        <w:rPr/>
      </w:pPr>
      <w:bookmarkStart w:id="60" w:name="__RefHeading___Toc3169_3356913938"/>
      <w:bookmarkEnd w:id="60"/>
      <w:r>
        <w:rPr/>
        <w:t>8.3  Strategic Recommendation 3: Standardized Utility Integration Module (UIM)</w:t>
      </w:r>
    </w:p>
    <w:p>
      <w:pPr>
        <w:pStyle w:val="Normal"/>
        <w:rPr/>
      </w:pPr>
      <w:r>
        <w:rPr/>
        <w:t>Design a standardized physical module that serves as the interface between the Delta controller and utility systems. This module segregates utility-facing complexity from the core controller.</w:t>
      </w:r>
    </w:p>
    <w:p>
      <w:pPr>
        <w:pStyle w:val="ListBullet"/>
        <w:numPr>
          <w:ilvl w:val="0"/>
          <w:numId w:val="1"/>
        </w:numPr>
        <w:ind w:hanging="360" w:start="360"/>
        <w:rPr/>
      </w:pPr>
      <w:r>
        <w:rPr/>
        <w:t>Hardened digital I/O for DTT signal reception (fiber optic and copper options)</w:t>
      </w:r>
    </w:p>
    <w:p>
      <w:pPr>
        <w:pStyle w:val="ListBullet"/>
        <w:numPr>
          <w:ilvl w:val="0"/>
          <w:numId w:val="1"/>
        </w:numPr>
        <w:ind w:hanging="360" w:start="360"/>
        <w:rPr/>
      </w:pPr>
      <w:r>
        <w:rPr/>
        <w:t>Certified protocol-converting gateway (Modbus to DNP3; IEC 61850 interface)</w:t>
      </w:r>
    </w:p>
    <w:p>
      <w:pPr>
        <w:pStyle w:val="ListBullet"/>
        <w:numPr>
          <w:ilvl w:val="0"/>
          <w:numId w:val="1"/>
        </w:numPr>
        <w:ind w:hanging="360" w:start="360"/>
        <w:rPr/>
      </w:pPr>
      <w:r>
        <w:rPr/>
        <w:t>Certified cellular modem for out-of-band utility communication</w:t>
      </w:r>
    </w:p>
    <w:p>
      <w:pPr>
        <w:pStyle w:val="ListBullet"/>
        <w:numPr>
          <w:ilvl w:val="0"/>
          <w:numId w:val="1"/>
        </w:numPr>
        <w:ind w:hanging="360" w:start="360"/>
        <w:rPr/>
      </w:pPr>
      <w:r>
        <w:rPr/>
        <w:t>Standardized wiring and labeling for all utility interconnection cables</w:t>
      </w:r>
    </w:p>
    <w:p>
      <w:pPr>
        <w:pStyle w:val="ListBullet"/>
        <w:numPr>
          <w:ilvl w:val="0"/>
          <w:numId w:val="1"/>
        </w:numPr>
        <w:ind w:hanging="360" w:start="360"/>
        <w:rPr/>
      </w:pPr>
      <w:r>
        <w:rPr/>
        <w:t>UIM achieves UL/ETL panel listing as a standalone certified component</w:t>
      </w:r>
    </w:p>
    <w:p>
      <w:pPr>
        <w:pStyle w:val="Heading2"/>
        <w:rPr/>
      </w:pPr>
      <w:bookmarkStart w:id="61" w:name="__RefHeading___Toc3171_3356913938"/>
      <w:bookmarkEnd w:id="61"/>
      <w:r>
        <w:rPr/>
        <w:t>8.4  Strategic Recommendation 4: Core Engineering Competencies</w:t>
      </w:r>
    </w:p>
    <w:p>
      <w:pPr>
        <w:pStyle w:val="Normal"/>
        <w:rPr/>
      </w:pPr>
      <w:r>
        <w:rPr/>
        <w:t>Recognize that metering and protection engineering are core competencies, not project-dependent tasks. Build internal expertise that becomes a differentiating capability.</w:t>
      </w:r>
    </w:p>
    <w:p>
      <w:pPr>
        <w:pStyle w:val="ListBullet"/>
        <w:numPr>
          <w:ilvl w:val="0"/>
          <w:numId w:val="1"/>
        </w:numPr>
        <w:ind w:hanging="360" w:start="360"/>
        <w:rPr/>
      </w:pPr>
      <w:r>
        <w:rPr/>
        <w:t>Hire a Senior Metering Engineer with East Coast utility revenue metering experience (ConEd, Eversource, PSE&amp;G)</w:t>
      </w:r>
    </w:p>
    <w:p>
      <w:pPr>
        <w:pStyle w:val="ListBullet"/>
        <w:numPr>
          <w:ilvl w:val="0"/>
          <w:numId w:val="1"/>
        </w:numPr>
        <w:ind w:hanging="360" w:start="360"/>
        <w:rPr/>
      </w:pPr>
      <w:r>
        <w:rPr/>
        <w:t>Hire a Senior Protection Engineer with experience in utility DER interconnection protection coordination</w:t>
      </w:r>
    </w:p>
    <w:p>
      <w:pPr>
        <w:pStyle w:val="ListBullet"/>
        <w:numPr>
          <w:ilvl w:val="0"/>
          <w:numId w:val="1"/>
        </w:numPr>
        <w:ind w:hanging="360" w:start="360"/>
        <w:rPr/>
      </w:pPr>
      <w:r>
        <w:rPr/>
        <w:t>Develop a library of pre-approved metering one-line diagrams and installation guides for each target utility</w:t>
      </w:r>
    </w:p>
    <w:p>
      <w:pPr>
        <w:pStyle w:val="ListBullet"/>
        <w:numPr>
          <w:ilvl w:val="0"/>
          <w:numId w:val="1"/>
        </w:numPr>
        <w:ind w:hanging="360" w:start="360"/>
        <w:rPr/>
      </w:pPr>
      <w:r>
        <w:rPr/>
        <w:t>Establish a review gate: all POI and metering designs reviewed by senior engineers before submission</w:t>
      </w:r>
    </w:p>
    <w:p>
      <w:pPr>
        <w:pStyle w:val="Heading2"/>
        <w:rPr/>
      </w:pPr>
      <w:bookmarkStart w:id="62" w:name="__RefHeading___Toc3173_3356913938"/>
      <w:bookmarkEnd w:id="62"/>
      <w:r>
        <w:rPr/>
        <w:t>8.5  Strategic Recommendation 5: Compliance Documentation Library</w:t>
      </w:r>
    </w:p>
    <w:p>
      <w:pPr>
        <w:pStyle w:val="Normal"/>
        <w:rPr/>
      </w:pPr>
      <w:r>
        <w:rPr/>
        <w:t>Proactively assemble and maintain a comprehensive library of compliance documentation that travels with every interconnection application.</w:t>
      </w:r>
    </w:p>
    <w:p>
      <w:pPr>
        <w:pStyle w:val="Normal"/>
        <w:rPr/>
      </w:pPr>
      <w:r>
        <w:rPr/>
        <w:t>Library contents for each utility:</w:t>
      </w:r>
    </w:p>
    <w:p>
      <w:pPr>
        <w:pStyle w:val="ListBullet"/>
        <w:numPr>
          <w:ilvl w:val="0"/>
          <w:numId w:val="1"/>
        </w:numPr>
        <w:ind w:hanging="360" w:start="360"/>
        <w:rPr/>
      </w:pPr>
      <w:r>
        <w:rPr/>
        <w:t>UL 1741 SB and UL 9540 certificates for all integrated DER components</w:t>
      </w:r>
    </w:p>
    <w:p>
      <w:pPr>
        <w:pStyle w:val="ListBullet"/>
        <w:numPr>
          <w:ilvl w:val="0"/>
          <w:numId w:val="1"/>
        </w:numPr>
        <w:ind w:hanging="360" w:start="360"/>
        <w:rPr/>
      </w:pPr>
      <w:r>
        <w:rPr/>
        <w:t>CHIL test reports demonstrating IEEE 2030.8 compliance for the target utility profile</w:t>
      </w:r>
    </w:p>
    <w:p>
      <w:pPr>
        <w:pStyle w:val="ListBullet"/>
        <w:numPr>
          <w:ilvl w:val="0"/>
          <w:numId w:val="1"/>
        </w:numPr>
        <w:ind w:hanging="360" w:start="360"/>
        <w:rPr/>
      </w:pPr>
      <w:r>
        <w:rPr/>
        <w:t>Protection relay setting calculation sheets and coordination studies</w:t>
      </w:r>
    </w:p>
    <w:p>
      <w:pPr>
        <w:pStyle w:val="ListBullet"/>
        <w:numPr>
          <w:ilvl w:val="0"/>
          <w:numId w:val="1"/>
        </w:numPr>
        <w:ind w:hanging="360" w:start="360"/>
        <w:rPr/>
      </w:pPr>
      <w:r>
        <w:rPr/>
        <w:t>Revenue metering one-line diagrams and burden calculations</w:t>
      </w:r>
    </w:p>
    <w:p>
      <w:pPr>
        <w:pStyle w:val="ListBullet"/>
        <w:numPr>
          <w:ilvl w:val="0"/>
          <w:numId w:val="1"/>
        </w:numPr>
        <w:ind w:hanging="360" w:start="360"/>
        <w:rPr/>
      </w:pPr>
      <w:r>
        <w:rPr/>
        <w:t>Detailed commissioning procedures and SAT checklists</w:t>
      </w:r>
    </w:p>
    <w:p>
      <w:pPr>
        <w:pStyle w:val="ListBullet"/>
        <w:numPr>
          <w:ilvl w:val="0"/>
          <w:numId w:val="1"/>
        </w:numPr>
        <w:ind w:hanging="360" w:start="360"/>
        <w:rPr/>
      </w:pPr>
      <w:r>
        <w:rPr/>
        <w:t>Controller architecture documentation and communication protocol specifications</w:t>
      </w:r>
    </w:p>
    <w:p>
      <w:pPr>
        <w:pStyle w:val="Heading2"/>
        <w:rPr/>
      </w:pPr>
      <w:bookmarkStart w:id="63" w:name="__RefHeading___Toc3175_3356913938"/>
      <w:bookmarkEnd w:id="63"/>
      <w:r>
        <w:rPr/>
        <w:t>8.6  Implementation Roadmap</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872"/>
        <w:gridCol w:w="1872"/>
        <w:gridCol w:w="1872"/>
        <w:gridCol w:w="1872"/>
        <w:gridCol w:w="1872"/>
      </w:tblGrid>
      <w:tr>
        <w:trPr/>
        <w:tc>
          <w:tcPr>
            <w:tcW w:w="1872"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Initiative</w:t>
            </w:r>
          </w:p>
        </w:tc>
        <w:tc>
          <w:tcPr>
            <w:tcW w:w="1872"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Q3–Q4 2026</w:t>
            </w:r>
          </w:p>
        </w:tc>
        <w:tc>
          <w:tcPr>
            <w:tcW w:w="1872"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Q1–Q2 2027</w:t>
            </w:r>
          </w:p>
        </w:tc>
        <w:tc>
          <w:tcPr>
            <w:tcW w:w="1872"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Q3–Q4 2027</w:t>
            </w:r>
          </w:p>
        </w:tc>
        <w:tc>
          <w:tcPr>
            <w:tcW w:w="1872"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2028+</w:t>
            </w:r>
          </w:p>
        </w:tc>
      </w:tr>
      <w:tr>
        <w:trPr/>
        <w:tc>
          <w:tcPr>
            <w:tcW w:w="1872"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kern w:val="0"/>
                <w:szCs w:val="22"/>
                <w:lang w:val="en-US" w:eastAsia="en-US" w:bidi="ar-SA"/>
              </w:rPr>
              <w:t>CHIL Testbed</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Procure simulator &amp; I/O hardware</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Build first 3 utility feeder models; run UPI/DTT/Sync tests</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Expand to 8+ utility models; automate regression</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Full test-on-demand capability for all East Coast utilities</w:t>
            </w:r>
          </w:p>
        </w:tc>
      </w:tr>
      <w:tr>
        <w:trPr/>
        <w:tc>
          <w:tcPr>
            <w:tcW w:w="1872"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kern w:val="0"/>
                <w:szCs w:val="22"/>
                <w:lang w:val="en-US" w:eastAsia="en-US" w:bidi="ar-SA"/>
              </w:rPr>
              <w:t>Utility Profile SW</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Define architecture; create first profile (Eversource)</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Profiles for ConEd, NYISO, Dominion, ISO-NE</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Profiles for Duke, National Grid, PSE&amp;G, BGE, PPL</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Profile library complete; self-serve configuration tool</w:t>
            </w:r>
          </w:p>
        </w:tc>
      </w:tr>
      <w:tr>
        <w:trPr/>
        <w:tc>
          <w:tcPr>
            <w:tcW w:w="1872"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kern w:val="0"/>
                <w:szCs w:val="22"/>
                <w:lang w:val="en-US" w:eastAsia="en-US" w:bidi="ar-SA"/>
              </w:rPr>
              <w:t>Utility Integration Module (UIM)</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Define specs; prototype DTT I/O</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Build v1.0 UIM; ETL/UL listing initiated</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UIM listed; deploy on first 3 projects</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Standard product offering; pre-approved by key utilities</w:t>
            </w:r>
          </w:p>
        </w:tc>
      </w:tr>
      <w:tr>
        <w:trPr/>
        <w:tc>
          <w:tcPr>
            <w:tcW w:w="1872"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kern w:val="0"/>
                <w:szCs w:val="22"/>
                <w:lang w:val="en-US" w:eastAsia="en-US" w:bidi="ar-SA"/>
              </w:rPr>
              <w:t>Engineering Hiring</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Hire Senior Metering Engineer</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Hire Senior Protection Engineer</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Build internal metering/protection team</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Team provides peer review for all projects</w:t>
            </w:r>
          </w:p>
        </w:tc>
      </w:tr>
      <w:tr>
        <w:trPr/>
        <w:tc>
          <w:tcPr>
            <w:tcW w:w="1872"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kern w:val="0"/>
                <w:szCs w:val="22"/>
                <w:lang w:val="en-US" w:eastAsia="en-US" w:bidi="ar-SA"/>
              </w:rPr>
              <w:t>Certification</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Audit DER component certifications</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Resolve UL 1741-SB gaps; initiate panel listing</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UL-listed Delta controller panel; key DER certs complete</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Full certification portfolio maintained</w:t>
            </w:r>
          </w:p>
        </w:tc>
      </w:tr>
      <w:tr>
        <w:trPr/>
        <w:tc>
          <w:tcPr>
            <w:tcW w:w="1872"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kern w:val="0"/>
                <w:szCs w:val="22"/>
                <w:lang w:val="en-US" w:eastAsia="en-US" w:bidi="ar-SA"/>
              </w:rPr>
              <w:t>Documentation Library</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Create templates; collect existing certs</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Develop metering packages for ConEd, Eversource, PSE&amp;G</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Complete packages for all target utilities</w:t>
            </w:r>
          </w:p>
        </w:tc>
        <w:tc>
          <w:tcPr>
            <w:tcW w:w="1872"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Library updated with every standard revision</w:t>
            </w:r>
          </w:p>
        </w:tc>
      </w:tr>
    </w:tbl>
    <w:p>
      <w:pPr>
        <w:pStyle w:val="Heading2"/>
        <w:rPr/>
      </w:pPr>
      <w:bookmarkStart w:id="64" w:name="__RefHeading___Toc3177_3356913938"/>
      <w:bookmarkEnd w:id="64"/>
      <w:r>
        <w:rPr/>
        <w:t>8.7  Success Metrics</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20"/>
        <w:gridCol w:w="3120"/>
        <w:gridCol w:w="3120"/>
      </w:tblGrid>
      <w:tr>
        <w:trPr/>
        <w:tc>
          <w:tcPr>
            <w:tcW w:w="3120"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Metric</w:t>
            </w:r>
          </w:p>
        </w:tc>
        <w:tc>
          <w:tcPr>
            <w:tcW w:w="3120"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Target</w:t>
            </w:r>
          </w:p>
        </w:tc>
        <w:tc>
          <w:tcPr>
            <w:tcW w:w="3120"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Measurement Method</w:t>
            </w:r>
          </w:p>
        </w:tc>
      </w:tr>
      <w:tr>
        <w:trPr/>
        <w:tc>
          <w:tcPr>
            <w:tcW w:w="312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kern w:val="0"/>
                <w:szCs w:val="22"/>
                <w:lang w:val="en-US" w:eastAsia="en-US" w:bidi="ar-SA"/>
              </w:rPr>
              <w:t>CHIL Test Coverage</w:t>
            </w:r>
          </w:p>
        </w:tc>
        <w:tc>
          <w:tcPr>
            <w:tcW w:w="312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90% of IEEE 2030.8 test cases executed against each target utility feeder model within 18 months</w:t>
            </w:r>
          </w:p>
        </w:tc>
        <w:tc>
          <w:tcPr>
            <w:tcW w:w="312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Cs w:val="22"/>
                <w:lang w:val="en-US" w:eastAsia="en-US" w:bidi="ar-SA"/>
              </w:rPr>
              <w:t>CHIL test log; test case library completeness report</w:t>
            </w:r>
          </w:p>
        </w:tc>
      </w:tr>
      <w:tr>
        <w:trPr/>
        <w:tc>
          <w:tcPr>
            <w:tcW w:w="312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kern w:val="0"/>
                <w:szCs w:val="22"/>
                <w:lang w:val="en-US" w:eastAsia="en-US" w:bidi="ar-SA"/>
              </w:rPr>
              <w:t>Interconnection Approval Speed</w:t>
            </w:r>
          </w:p>
        </w:tc>
        <w:tc>
          <w:tcPr>
            <w:tcW w:w="312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Cs w:val="22"/>
                <w:lang w:val="en-US" w:eastAsia="en-US" w:bidi="ar-SA"/>
              </w:rPr>
              <w:t>Average interconnection study-to-approval time reduced by 25% vs. industry benchmark through pre-validated compliance packages</w:t>
            </w:r>
          </w:p>
        </w:tc>
        <w:tc>
          <w:tcPr>
            <w:tcW w:w="312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Cs w:val="22"/>
                <w:lang w:val="en-US" w:eastAsia="en-US" w:bidi="ar-SA"/>
              </w:rPr>
              <w:t>Interconnection application tracking spreadsheet vs. industry data</w:t>
            </w:r>
          </w:p>
        </w:tc>
      </w:tr>
      <w:tr>
        <w:trPr/>
        <w:tc>
          <w:tcPr>
            <w:tcW w:w="312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kern w:val="0"/>
                <w:szCs w:val="22"/>
                <w:lang w:val="en-US" w:eastAsia="en-US" w:bidi="ar-SA"/>
              </w:rPr>
              <w:t>Certification Completeness</w:t>
            </w:r>
          </w:p>
        </w:tc>
        <w:tc>
          <w:tcPr>
            <w:tcW w:w="312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Cs w:val="22"/>
                <w:lang w:val="en-US" w:eastAsia="en-US" w:bidi="ar-SA"/>
              </w:rPr>
              <w:t>100% of integrated DER components carry UL 1741-SB and/or UL 9540 certification within 12 months</w:t>
            </w:r>
          </w:p>
        </w:tc>
        <w:tc>
          <w:tcPr>
            <w:tcW w:w="312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Cs w:val="22"/>
                <w:lang w:val="en-US" w:eastAsia="en-US" w:bidi="ar-SA"/>
              </w:rPr>
              <w:t>Vendor certification register; annual audit</w:t>
            </w:r>
          </w:p>
        </w:tc>
      </w:tr>
      <w:tr>
        <w:trPr/>
        <w:tc>
          <w:tcPr>
            <w:tcW w:w="312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kern w:val="0"/>
                <w:szCs w:val="22"/>
                <w:lang w:val="en-US" w:eastAsia="en-US" w:bidi="ar-SA"/>
              </w:rPr>
              <w:t>Utility Profile Coverage</w:t>
            </w:r>
          </w:p>
        </w:tc>
        <w:tc>
          <w:tcPr>
            <w:tcW w:w="312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Cs w:val="22"/>
                <w:lang w:val="en-US" w:eastAsia="en-US" w:bidi="ar-SA"/>
              </w:rPr>
              <w:t>Utility profiles created, validated, and deployed for all 10 target utilities within 24 months</w:t>
            </w:r>
          </w:p>
        </w:tc>
        <w:tc>
          <w:tcPr>
            <w:tcW w:w="312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Cs w:val="22"/>
                <w:lang w:val="en-US" w:eastAsia="en-US" w:bidi="ar-SA"/>
              </w:rPr>
              <w:t>Profile registry; CHIL validation report per profile</w:t>
            </w:r>
          </w:p>
        </w:tc>
      </w:tr>
      <w:tr>
        <w:trPr/>
        <w:tc>
          <w:tcPr>
            <w:tcW w:w="312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kern w:val="0"/>
                <w:szCs w:val="22"/>
                <w:lang w:val="en-US" w:eastAsia="en-US" w:bidi="ar-SA"/>
              </w:rPr>
              <w:t>First-Pass Metering Acceptance</w:t>
            </w:r>
          </w:p>
        </w:tc>
        <w:tc>
          <w:tcPr>
            <w:tcW w:w="312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95% of metering installations pass utility commissioning inspection on first attempt</w:t>
            </w:r>
          </w:p>
        </w:tc>
        <w:tc>
          <w:tcPr>
            <w:tcW w:w="312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Cs w:val="22"/>
                <w:lang w:val="en-US" w:eastAsia="en-US" w:bidi="ar-SA"/>
              </w:rPr>
              <w:t>Commissioning record tracking; inspector sign-off rate</w:t>
            </w:r>
          </w:p>
        </w:tc>
      </w:tr>
      <w:tr>
        <w:trPr/>
        <w:tc>
          <w:tcPr>
            <w:tcW w:w="312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kern w:val="0"/>
                <w:szCs w:val="22"/>
                <w:lang w:val="en-US" w:eastAsia="en-US" w:bidi="ar-SA"/>
              </w:rPr>
              <w:t>Revenue from Certified Projects</w:t>
            </w:r>
          </w:p>
        </w:tc>
        <w:tc>
          <w:tcPr>
            <w:tcW w:w="312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Cs w:val="22"/>
                <w:lang w:val="en-US" w:eastAsia="en-US" w:bidi="ar-SA"/>
              </w:rPr>
              <w:t>At least 3 projects interconnected using the new compliance framework within 24 months, demonstrating commercial validation</w:t>
            </w:r>
          </w:p>
        </w:tc>
        <w:tc>
          <w:tcPr>
            <w:tcW w:w="3120" w:type="dxa"/>
            <w:tcBorders/>
          </w:tcPr>
          <w:p>
            <w:pPr>
              <w:pStyle w:val="Normal"/>
              <w:widowControl/>
              <w:suppressAutoHyphens w:val="true"/>
              <w:spacing w:before="0" w:after="120"/>
              <w:jc w:val="start"/>
              <w:rPr>
                <w:rFonts w:eastAsia="ＭＳ 明朝" w:cs=""/>
                <w:kern w:val="0"/>
                <w:szCs w:val="22"/>
                <w:lang w:val="en-US" w:eastAsia="en-US" w:bidi="ar-SA"/>
              </w:rPr>
            </w:pPr>
            <w:r>
              <w:rPr>
                <w:rFonts w:eastAsia="ＭＳ 明朝" w:cs=""/>
                <w:kern w:val="0"/>
                <w:szCs w:val="22"/>
                <w:lang w:val="en-US" w:eastAsia="en-US" w:bidi="ar-SA"/>
              </w:rPr>
              <w:t>Project portfolio CRM; revenue recognition tracking</w:t>
            </w:r>
          </w:p>
        </w:tc>
      </w:tr>
    </w:tbl>
    <w:p>
      <w:pPr>
        <w:pStyle w:val="Heading1"/>
        <w:rPr/>
      </w:pPr>
      <w:r>
        <w:br w:type="page"/>
      </w:r>
      <w:bookmarkStart w:id="65" w:name="__RefHeading___Toc3179_3356913938"/>
      <w:bookmarkEnd w:id="65"/>
      <w:r>
        <w:rPr/>
        <w:t>Appendix A: Revenue Metering Standards and Utility Requirements</w:t>
      </w:r>
    </w:p>
    <w:p>
      <w:pPr>
        <w:pStyle w:val="Normal"/>
        <w:rPr/>
      </w:pPr>
      <w:r>
        <w:rPr/>
        <w:t>Revenue metering is the 'cash register' of any power generation project, and for microgrids, it is a critical system determining financial settlement with the utility. Unlike sub-metering for internal monitoring, revenue-grade metering systems must meet stringent, legally mandated standards for accuracy, security, and reliability.</w:t>
      </w:r>
    </w:p>
    <w:p>
      <w:pPr>
        <w:pStyle w:val="Heading2"/>
        <w:rPr/>
      </w:pPr>
      <w:bookmarkStart w:id="66" w:name="__RefHeading___Toc3181_3356913938"/>
      <w:bookmarkEnd w:id="66"/>
      <w:r>
        <w:rPr/>
        <w:t>A.1  Governing Standards</w:t>
      </w:r>
    </w:p>
    <w:p>
      <w:pPr>
        <w:pStyle w:val="ListBullet"/>
        <w:numPr>
          <w:ilvl w:val="0"/>
          <w:numId w:val="1"/>
        </w:numPr>
        <w:rPr/>
      </w:pPr>
      <w:r>
        <w:rPr>
          <w:b/>
        </w:rPr>
        <w:t xml:space="preserve">ANSI C12.1: </w:t>
      </w:r>
      <w:r>
        <w:rPr/>
        <w:t>Code for Electricity Metering — establishes acceptable performance criteria for new meters.</w:t>
      </w:r>
    </w:p>
    <w:p>
      <w:pPr>
        <w:pStyle w:val="ListBullet"/>
        <w:numPr>
          <w:ilvl w:val="0"/>
          <w:numId w:val="1"/>
        </w:numPr>
        <w:rPr/>
      </w:pPr>
      <w:r>
        <w:rPr>
          <w:b/>
        </w:rPr>
        <w:t xml:space="preserve">ANSI C12.20: </w:t>
      </w:r>
      <w:r>
        <w:rPr/>
        <w:t>American National Standard for Electricity Meters — 0.2 and 0.5 Accuracy Classes. Defines accuracy and performance requirements for solid-state electronic meters.</w:t>
      </w:r>
    </w:p>
    <w:p>
      <w:pPr>
        <w:pStyle w:val="ListBullet"/>
        <w:numPr>
          <w:ilvl w:val="0"/>
          <w:numId w:val="1"/>
        </w:numPr>
        <w:rPr/>
      </w:pPr>
      <w:r>
        <w:rPr>
          <w:b/>
        </w:rPr>
        <w:t xml:space="preserve">IEEE C57.13: </w:t>
      </w:r>
      <w:r>
        <w:rPr/>
        <w:t>Primary standard for Current Transformers (CTs) and Voltage Transformers (VTs/PTs) in the US. Defines accuracy classes (0.15S, 0.3) and burden ratings for metering and relaying service.</w:t>
      </w:r>
    </w:p>
    <w:p>
      <w:pPr>
        <w:pStyle w:val="ListBullet"/>
        <w:numPr>
          <w:ilvl w:val="0"/>
          <w:numId w:val="1"/>
        </w:numPr>
        <w:rPr/>
      </w:pPr>
      <w:r>
        <w:rPr>
          <w:b/>
        </w:rPr>
        <w:t xml:space="preserve">IEC 61869: </w:t>
      </w:r>
      <w:r>
        <w:rPr/>
        <w:t>International equivalent to IEEE C57.13 for instrument transformers.</w:t>
      </w:r>
    </w:p>
    <w:p>
      <w:pPr>
        <w:pStyle w:val="ListBullet"/>
        <w:numPr>
          <w:ilvl w:val="0"/>
          <w:numId w:val="1"/>
        </w:numPr>
        <w:rPr/>
      </w:pPr>
      <w:r>
        <w:rPr>
          <w:b/>
        </w:rPr>
        <w:t xml:space="preserve">IEC 62056 / DLMS-COSEM: </w:t>
      </w:r>
      <w:r>
        <w:rPr/>
        <w:t>Global standard for smart meter data exchange. Object-oriented COSEM framework and DLMS messaging language for reading and managing meters.</w:t>
      </w:r>
    </w:p>
    <w:p>
      <w:pPr>
        <w:pStyle w:val="ListBullet"/>
        <w:numPr>
          <w:ilvl w:val="0"/>
          <w:numId w:val="1"/>
        </w:numPr>
        <w:rPr/>
      </w:pPr>
      <w:r>
        <w:rPr>
          <w:b/>
        </w:rPr>
        <w:t xml:space="preserve">ANSI C12.22: </w:t>
      </w:r>
      <w:r>
        <w:rPr/>
        <w:t>Standard for transporting C12.19 data tables over any network including IP. Basis for most modern AMI systems in the US.</w:t>
      </w:r>
    </w:p>
    <w:p>
      <w:pPr>
        <w:pStyle w:val="Heading2"/>
        <w:rPr/>
      </w:pPr>
      <w:bookmarkStart w:id="67" w:name="__RefHeading___Toc3183_3356913938"/>
      <w:bookmarkEnd w:id="67"/>
      <w:r>
        <w:rPr/>
        <w:t>A.2  MV CT/PT Selection Best Practices</w:t>
      </w:r>
    </w:p>
    <w:p>
      <w:pPr>
        <w:pStyle w:val="ListBullet"/>
        <w:numPr>
          <w:ilvl w:val="0"/>
          <w:numId w:val="1"/>
        </w:numPr>
        <w:rPr/>
      </w:pPr>
      <w:r>
        <w:rPr>
          <w:b/>
        </w:rPr>
        <w:t xml:space="preserve">CT Selection: </w:t>
      </w:r>
      <w:r>
        <w:rPr/>
        <w:t>Ratio must encompass full import/export capacity range. Use 0.15S (extended range) accuracy class CTs for microgrids with renewables to maintain accuracy during low-generation periods. Short-time thermal and mechanical ratings must withstand maximum available fault current.</w:t>
      </w:r>
    </w:p>
    <w:p>
      <w:pPr>
        <w:pStyle w:val="ListBullet"/>
        <w:numPr>
          <w:ilvl w:val="0"/>
          <w:numId w:val="1"/>
        </w:numPr>
        <w:rPr/>
      </w:pPr>
      <w:r>
        <w:rPr>
          <w:b/>
        </w:rPr>
        <w:t xml:space="preserve">PT Selection: </w:t>
      </w:r>
      <w:r>
        <w:rPr/>
        <w:t>Ratio chosen to match primary system voltage to standard 120V secondary. Must withstand system transients.</w:t>
      </w:r>
    </w:p>
    <w:p>
      <w:pPr>
        <w:pStyle w:val="ListBullet"/>
        <w:numPr>
          <w:ilvl w:val="0"/>
          <w:numId w:val="1"/>
        </w:numPr>
        <w:rPr/>
      </w:pPr>
      <w:r>
        <w:rPr>
          <w:b/>
        </w:rPr>
        <w:t xml:space="preserve">Polarity Verification: </w:t>
      </w:r>
      <w:r>
        <w:rPr/>
        <w:t>CT (H1/X1) and PT polarity marks must be physically verified during commissioning. Reversed connections cause significant billing errors.</w:t>
      </w:r>
    </w:p>
    <w:p>
      <w:pPr>
        <w:pStyle w:val="ListBullet"/>
        <w:numPr>
          <w:ilvl w:val="0"/>
          <w:numId w:val="1"/>
        </w:numPr>
        <w:rPr/>
      </w:pPr>
      <w:r>
        <w:rPr>
          <w:b/>
        </w:rPr>
        <w:t xml:space="preserve">Burden Management: </w:t>
      </w:r>
      <w:r>
        <w:rPr/>
        <w:t>Secondary wiring must be sufficient gauge (#10 AWG copper typical); distance must be minimized (ConEd limits to 25 feet). Total burden must remain below CT rating. Burden calculations must be performed and documented.</w:t>
      </w:r>
    </w:p>
    <w:p>
      <w:pPr>
        <w:pStyle w:val="ListBullet"/>
        <w:numPr>
          <w:ilvl w:val="0"/>
          <w:numId w:val="1"/>
        </w:numPr>
        <w:rPr/>
      </w:pPr>
      <w:r>
        <w:rPr>
          <w:b/>
        </w:rPr>
        <w:t xml:space="preserve">Grounding: </w:t>
      </w:r>
      <w:r>
        <w:rPr/>
        <w:t>A single, dedicated ground point for CT secondary neutral is critical. Multiple ground points create ground loops inducing currents that cause measurement errors.</w:t>
      </w:r>
    </w:p>
    <w:p>
      <w:pPr>
        <w:pStyle w:val="ListBullet"/>
        <w:numPr>
          <w:ilvl w:val="0"/>
          <w:numId w:val="1"/>
        </w:numPr>
        <w:rPr/>
      </w:pPr>
      <w:r>
        <w:rPr>
          <w:b/>
        </w:rPr>
        <w:t xml:space="preserve">No Fusing on CTs: </w:t>
      </w:r>
      <w:r>
        <w:rPr/>
        <w:t>CT secondary circuits must NEVER be fused. An open secondary circuit on an energized CT produces extremely high, lethal voltages.</w:t>
      </w:r>
    </w:p>
    <w:p>
      <w:pPr>
        <w:pStyle w:val="Heading2"/>
        <w:rPr/>
      </w:pPr>
      <w:bookmarkStart w:id="68" w:name="__RefHeading___Toc3185_3356913938"/>
      <w:bookmarkEnd w:id="68"/>
      <w:r>
        <w:rPr/>
        <w:t>A.3  East Coast Utility Revenue Metering Matrix</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340"/>
        <w:gridCol w:w="2340"/>
        <w:gridCol w:w="2340"/>
        <w:gridCol w:w="2340"/>
      </w:tblGrid>
      <w:tr>
        <w:trPr/>
        <w:tc>
          <w:tcPr>
            <w:tcW w:w="2340"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Utility</w:t>
            </w:r>
          </w:p>
        </w:tc>
        <w:tc>
          <w:tcPr>
            <w:tcW w:w="2340"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Governing Document(s)</w:t>
            </w:r>
          </w:p>
        </w:tc>
        <w:tc>
          <w:tcPr>
            <w:tcW w:w="2340"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MV Revenue Meter &amp; CT/PT Specs</w:t>
            </w:r>
          </w:p>
        </w:tc>
        <w:tc>
          <w:tcPr>
            <w:tcW w:w="2340" w:type="dxa"/>
            <w:tcBorders/>
            <w:shd w:color="auto" w:fill="00467F" w:val="clear"/>
          </w:tcPr>
          <w:p>
            <w:pPr>
              <w:pStyle w:val="Normal"/>
              <w:widowControl/>
              <w:suppressAutoHyphens w:val="true"/>
              <w:spacing w:before="0" w:after="120"/>
              <w:jc w:val="start"/>
              <w:rPr>
                <w:rFonts w:eastAsia="ＭＳ 明朝" w:cs=""/>
                <w:kern w:val="0"/>
                <w:szCs w:val="22"/>
                <w:lang w:val="en-US" w:eastAsia="en-US" w:bidi="ar-SA"/>
              </w:rPr>
            </w:pPr>
            <w:r>
              <w:rPr>
                <w:rFonts w:eastAsia="ＭＳ 明朝" w:cs=""/>
                <w:b/>
                <w:color w:val="FFFFFF"/>
                <w:kern w:val="0"/>
                <w:sz w:val="18"/>
                <w:szCs w:val="22"/>
                <w:lang w:val="en-US" w:eastAsia="en-US" w:bidi="ar-SA"/>
              </w:rPr>
              <w:t>Key Integration Considerations</w:t>
            </w:r>
          </w:p>
        </w:tc>
      </w:tr>
      <w:tr>
        <w:trPr/>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Con Edison</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Electric Service Reference ('Blue Book') Sec. VII; MES-350 (HT Metering)</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Utility furnishes CTs/PTs for loads over #3/0 Cu</w:t>
              <w:br/>
              <w:t>• Customer provides and installs cabinets and conduit</w:t>
              <w:br/>
              <w:t>• MV: strict 25-foot limit on secondary wiring</w:t>
              <w:br/>
              <w:t>• #10 AWG stranded copper; no splices</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Meters in accessible areas, 4'6"–5'6" from grade</w:t>
              <w:br/>
              <w:t>• Dedicated conduit; no mixing with other wiring</w:t>
              <w:br/>
              <w:t>• All metering drawings require prior ConEd approval</w:t>
            </w:r>
          </w:p>
        </w:tc>
      </w:tr>
      <w:tr>
        <w:trPr/>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Eversource (CT)</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Rules and Regulations (NB-3); Requirements for Electric Service ('Yellow Book')</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Primary metering requires written approval from Meter Engineering</w:t>
              <w:br/>
              <w:t>• Customer installs utility-approved CTs/VTs</w:t>
              <w:br/>
              <w:t>• CT H1 white dot must face line/utility side</w:t>
              <w:br/>
              <w:t>• Customer pays CIAC cost difference vs. secondary metering</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All metering must be outdoors (or approved variance)</w:t>
              <w:br/>
              <w:t>• 4-ft wide × 3-ft deep clearance in front of meters</w:t>
              <w:br/>
              <w:t>• Remote comms: dedicated analog phone line or approved tech</w:t>
            </w:r>
          </w:p>
        </w:tc>
      </w:tr>
      <w:tr>
        <w:trPr/>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PSE&amp;G (NJ)</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Transmission Interconnection Requirements (063436); NJ BPU Net Metering Rules</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PSE&amp;G owns meter at 34.5 kV+</w:t>
              <w:br/>
              <w:t>• Customer provides/installs CTs/PTs (utility approval + witness testing)</w:t>
              <w:br/>
              <w:t>• Metering-class CTs/PTs must not be used for relaying</w:t>
              <w:br/>
              <w:t>• Max 100-foot distance between CT/PTs and meter</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Walk-in metering enclosure with auxiliary power and lighting</w:t>
              <w:br/>
              <w:t>• Adequate cellular signal required for remote data acquisition</w:t>
              <w:br/>
              <w:t>• CT secondary circuits must not be fused or have bypass switches</w:t>
            </w:r>
          </w:p>
        </w:tc>
      </w:tr>
      <w:tr>
        <w:trPr/>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Dominion Energy</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Interconnection Parameters for DER Manual; State Net Metering Rules</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Conforms to IEEE C57.13 and ANSI C12</w:t>
              <w:br/>
              <w:t>• Utility specifies accuracy class based on facility size</w:t>
              <w:br/>
              <w:t>• UL 1741 compliant 'grid-tie' equipment mandatory</w:t>
              <w:br/>
              <w:t>• Lockable utility-accessible disconnect required</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Larger facilities may require redundant revenue metering</w:t>
              <w:br/>
              <w:t>• Real-time SCADA operational metering may also be required</w:t>
              <w:br/>
              <w:t>• Communication for data backhaul to control center in interconnection agreement</w:t>
            </w:r>
          </w:p>
        </w:tc>
      </w:tr>
      <w:tr>
        <w:trPr/>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National Grid</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ESB 756; State tariffs (MA, RI, NY)</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CT/PT and primary metering requirements determined in study</w:t>
              <w:br/>
              <w:t>• Adheres to ANSI and IEEE standards for accuracy</w:t>
              <w:br/>
              <w:t>• Customer installs utility-approved instrument transformers</w:t>
            </w:r>
          </w:p>
        </w:tc>
        <w:tc>
          <w:tcPr>
            <w:tcW w:w="2340" w:type="dxa"/>
            <w:tcBorders/>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Meter location must allow 24/7 utility personnel access</w:t>
              <w:br/>
              <w:t>• All relay and meter settings subject to National Grid written approval</w:t>
              <w:br/>
              <w:t>• Settings cannot be modified without written consent</w:t>
            </w:r>
          </w:p>
        </w:tc>
      </w:tr>
    </w:tbl>
    <w:p>
      <w:pPr>
        <w:pStyle w:val="Heading1"/>
        <w:rPr/>
      </w:pPr>
      <w:r>
        <w:br w:type="page"/>
      </w:r>
      <w:bookmarkStart w:id="69" w:name="__RefHeading___Toc3187_3356913938"/>
      <w:bookmarkEnd w:id="69"/>
      <w:r>
        <w:rPr/>
        <w:t>Appendix B: References</w:t>
      </w:r>
    </w:p>
    <w:p>
      <w:pPr>
        <w:pStyle w:val="ListBullet"/>
        <w:numPr>
          <w:ilvl w:val="0"/>
          <w:numId w:val="1"/>
        </w:numPr>
        <w:spacing w:before="0" w:after="60"/>
        <w:contextualSpacing/>
        <w:rPr/>
      </w:pPr>
      <w:r>
        <w:rPr/>
        <w:t>[1] Energies Journal, MDPI: Controller Hardware-in-the-Loop validation methodology — https://www.mdpi.com/1996-1073/14/21/7381</w:t>
      </w:r>
    </w:p>
    <w:p>
      <w:pPr>
        <w:pStyle w:val="ListBullet"/>
        <w:numPr>
          <w:ilvl w:val="0"/>
          <w:numId w:val="1"/>
        </w:numPr>
        <w:spacing w:before="0" w:after="60"/>
        <w:contextualSpacing/>
        <w:rPr/>
      </w:pPr>
      <w:r>
        <w:rPr/>
        <w:t>[2] IEEE 2030.7-2017: Standard for the Specification of Microgrid Controllers — https://standards.ieee.org/ieee/2030.7/5941/</w:t>
      </w:r>
    </w:p>
    <w:p>
      <w:pPr>
        <w:pStyle w:val="ListBullet"/>
        <w:numPr>
          <w:ilvl w:val="0"/>
          <w:numId w:val="1"/>
        </w:numPr>
        <w:spacing w:before="0" w:after="60"/>
        <w:contextualSpacing/>
        <w:rPr/>
      </w:pPr>
      <w:r>
        <w:rPr/>
        <w:t>[3] ResearchGate: Centralized Microgrid Control System in Compliance with IEEE 2030.7 — https://www.researchgate.net/publication/355970239</w:t>
      </w:r>
    </w:p>
    <w:p>
      <w:pPr>
        <w:pStyle w:val="ListBullet"/>
        <w:numPr>
          <w:ilvl w:val="0"/>
          <w:numId w:val="1"/>
        </w:numPr>
        <w:spacing w:before="0" w:after="60"/>
        <w:contextualSpacing/>
        <w:rPr/>
      </w:pPr>
      <w:r>
        <w:rPr/>
        <w:t>[4] Microgrid Today: IEEE 2030 Microgrid Architecture and Interoperability — https://www.microgridtoday.com/ieee-2030-microgrid-architecture-interoperability</w:t>
      </w:r>
    </w:p>
    <w:p>
      <w:pPr>
        <w:pStyle w:val="ListBullet"/>
        <w:numPr>
          <w:ilvl w:val="0"/>
          <w:numId w:val="1"/>
        </w:numPr>
        <w:spacing w:before="0" w:after="60"/>
        <w:contextualSpacing/>
        <w:rPr/>
      </w:pPr>
      <w:r>
        <w:rPr/>
        <w:t>[5] IEEE 2030.8-2018: Standard for the Testing of Microgrid Controllers — https://standards.ieee.org/ieee/2030.8/6169/</w:t>
      </w:r>
    </w:p>
    <w:p>
      <w:pPr>
        <w:pStyle w:val="ListBullet"/>
        <w:numPr>
          <w:ilvl w:val="0"/>
          <w:numId w:val="1"/>
        </w:numPr>
        <w:spacing w:before="0" w:after="60"/>
        <w:contextualSpacing/>
        <w:rPr/>
      </w:pPr>
      <w:r>
        <w:rPr/>
        <w:t>[7] NREL: Microgrid Controls Research — https://www.nrel.gov/grid/microgrid-controls.html</w:t>
      </w:r>
    </w:p>
    <w:p>
      <w:pPr>
        <w:pStyle w:val="ListBullet"/>
        <w:numPr>
          <w:ilvl w:val="0"/>
          <w:numId w:val="1"/>
        </w:numPr>
        <w:spacing w:before="0" w:after="60"/>
        <w:contextualSpacing/>
        <w:rPr/>
      </w:pPr>
      <w:r>
        <w:rPr/>
        <w:t>[8–9] DOE/OSTI: Generic Microgrid Controller specifications — https://www.osti.gov/pages/servlets/purl/1464787</w:t>
      </w:r>
    </w:p>
    <w:p>
      <w:pPr>
        <w:pStyle w:val="ListBullet"/>
        <w:numPr>
          <w:ilvl w:val="0"/>
          <w:numId w:val="1"/>
        </w:numPr>
        <w:spacing w:before="0" w:after="60"/>
        <w:contextualSpacing/>
        <w:rPr/>
      </w:pPr>
      <w:r>
        <w:rPr/>
        <w:t>[11] IREC: IEEE 1547-2018 Adoption Tracker — https://irecusa.org/resources/ieee-1547-2018-adoption-tracker/</w:t>
      </w:r>
    </w:p>
    <w:p>
      <w:pPr>
        <w:pStyle w:val="ListBullet"/>
        <w:numPr>
          <w:ilvl w:val="0"/>
          <w:numId w:val="1"/>
        </w:numPr>
        <w:spacing w:before="0" w:after="60"/>
        <w:contextualSpacing/>
        <w:rPr/>
      </w:pPr>
      <w:r>
        <w:rPr/>
        <w:t>[12] NY PSC: Default IEEE 1547-2018 Setting Requirements — https://dps.ny.gov/system/files/documents/2022/11/si-requested-documentation-of-ieee-1547-2018-setting-requirements-tsrg_iso-ne-sample.pdf</w:t>
      </w:r>
    </w:p>
    <w:p>
      <w:pPr>
        <w:pStyle w:val="ListBullet"/>
        <w:numPr>
          <w:ilvl w:val="0"/>
          <w:numId w:val="1"/>
        </w:numPr>
        <w:spacing w:before="0" w:after="60"/>
        <w:contextualSpacing/>
        <w:rPr/>
      </w:pPr>
      <w:r>
        <w:rPr/>
        <w:t>[14] ISO-NE: Implementation of Revised IEEE Standard 1547 — https://www.iso-ne.com/static-assets/documents/2018/02/a2_implementation_of_revised_ieee_standard_1547_iso_source_document.pdf</w:t>
      </w:r>
    </w:p>
    <w:p>
      <w:pPr>
        <w:pStyle w:val="ListBullet"/>
        <w:numPr>
          <w:ilvl w:val="0"/>
          <w:numId w:val="1"/>
        </w:numPr>
        <w:spacing w:before="0" w:after="60"/>
        <w:contextualSpacing/>
        <w:rPr/>
      </w:pPr>
      <w:r>
        <w:rPr/>
        <w:t>[19] PJM Manual 07: Protection Standards — https://www.pjm.com/-/media/DotCom/documents/manuals/m07-redline.ashx</w:t>
      </w:r>
    </w:p>
    <w:p>
      <w:pPr>
        <w:pStyle w:val="ListBullet"/>
        <w:numPr>
          <w:ilvl w:val="0"/>
          <w:numId w:val="1"/>
        </w:numPr>
        <w:spacing w:before="0" w:after="60"/>
        <w:contextualSpacing/>
        <w:rPr/>
      </w:pPr>
      <w:r>
        <w:rPr/>
        <w:t>[20] PJM Manual 14G: Generation Interconnection Requests — https://www.pjm.com/-/media/DotCom/documents/manuals/m14g.pdf</w:t>
      </w:r>
    </w:p>
    <w:p>
      <w:pPr>
        <w:pStyle w:val="ListBullet"/>
        <w:numPr>
          <w:ilvl w:val="0"/>
          <w:numId w:val="1"/>
        </w:numPr>
        <w:spacing w:before="0" w:after="60"/>
        <w:contextualSpacing/>
        <w:rPr/>
      </w:pPr>
      <w:r>
        <w:rPr/>
        <w:t>[25] Con Edison EO-2161 (Microgrids) — https://www.coned.com/-/media/files/coned/documents/save-energy-money/using-private-generation/specs-and-tariffs/eo-2161.pdf</w:t>
      </w:r>
    </w:p>
    <w:p>
      <w:pPr>
        <w:pStyle w:val="ListBullet"/>
        <w:numPr>
          <w:ilvl w:val="0"/>
          <w:numId w:val="1"/>
        </w:numPr>
        <w:spacing w:before="0" w:after="60"/>
        <w:contextualSpacing/>
        <w:rPr/>
      </w:pPr>
      <w:r>
        <w:rPr/>
        <w:t>[26] Con Edison Energy Storage Guide — https://www.coned.com/-/media/files/coned/documents/save-energy-money/using-private-generation/specs-and-tariffs/energy-storage-guide.pdf</w:t>
      </w:r>
    </w:p>
    <w:p>
      <w:pPr>
        <w:pStyle w:val="ListBullet"/>
        <w:numPr>
          <w:ilvl w:val="0"/>
          <w:numId w:val="1"/>
        </w:numPr>
        <w:spacing w:before="0" w:after="60"/>
        <w:contextualSpacing/>
        <w:rPr/>
      </w:pPr>
      <w:r>
        <w:rPr/>
        <w:t>[28] National Grid ESB 756 — https://www.nationalgridus.com/media/pronet/shared_constr_esb756.pdf</w:t>
      </w:r>
    </w:p>
    <w:p>
      <w:pPr>
        <w:pStyle w:val="ListBullet"/>
        <w:numPr>
          <w:ilvl w:val="0"/>
          <w:numId w:val="1"/>
        </w:numPr>
        <w:spacing w:before="0" w:after="60"/>
        <w:contextualSpacing/>
        <w:rPr/>
      </w:pPr>
      <w:r>
        <w:rPr/>
        <w:t>[31] Eversource DER Technical Requirements — https://www.eversource.com/docs/default-source/builders-contractors/der-information-technical-requirements.pdf</w:t>
      </w:r>
    </w:p>
    <w:p>
      <w:pPr>
        <w:pStyle w:val="ListBullet"/>
        <w:numPr>
          <w:ilvl w:val="0"/>
          <w:numId w:val="1"/>
        </w:numPr>
        <w:spacing w:before="0" w:after="60"/>
        <w:contextualSpacing/>
        <w:rPr/>
      </w:pPr>
      <w:r>
        <w:rPr/>
        <w:t>[35] Dominion DER Interconnection Parameters Manual — https://www.dominionenergy.com/-/media/content/large-business-services/pdfs/virginia/der-interconnection-parameters-manual.pdf</w:t>
      </w:r>
    </w:p>
    <w:p>
      <w:pPr>
        <w:pStyle w:val="ListBullet"/>
        <w:numPr>
          <w:ilvl w:val="0"/>
          <w:numId w:val="1"/>
        </w:numPr>
        <w:spacing w:before="0" w:after="60"/>
        <w:contextualSpacing/>
        <w:rPr/>
      </w:pPr>
      <w:r>
        <w:rPr/>
        <w:t>[36] Dominion Facility Interconnection Requirements — https://www.dominionenergy.com/-/media/content/large-business-services/pdfs/virginia/facility-interconnection-requirements.pdf</w:t>
      </w:r>
    </w:p>
    <w:p>
      <w:pPr>
        <w:pStyle w:val="ListBullet"/>
        <w:numPr>
          <w:ilvl w:val="0"/>
          <w:numId w:val="1"/>
        </w:numPr>
        <w:spacing w:before="0" w:after="60"/>
        <w:contextualSpacing/>
        <w:rPr/>
      </w:pPr>
      <w:r>
        <w:rPr/>
        <w:t>[42] KEMA Labs, Chalfont PA — https://www.cesi.it/labs/chalfont/</w:t>
      </w:r>
    </w:p>
    <w:p>
      <w:pPr>
        <w:pStyle w:val="ListBullet"/>
        <w:numPr>
          <w:ilvl w:val="0"/>
          <w:numId w:val="1"/>
        </w:numPr>
        <w:spacing w:before="0" w:after="60"/>
        <w:contextualSpacing/>
        <w:rPr/>
      </w:pPr>
      <w:r>
        <w:rPr/>
        <w:t>[43] Intertek ETL/NRTL Certification — https://www.intertek.com/product-certification-marks/etl-nrtl/</w:t>
      </w:r>
    </w:p>
    <w:p>
      <w:pPr>
        <w:pStyle w:val="ListBullet"/>
        <w:numPr>
          <w:ilvl w:val="0"/>
          <w:numId w:val="1"/>
        </w:numPr>
        <w:spacing w:before="0" w:after="60"/>
        <w:contextualSpacing/>
        <w:rPr/>
      </w:pPr>
      <w:r>
        <w:rPr/>
        <w:t>[44] UL Solutions Grid Code Compliance — https://www.ul.com/services/grid-code-compliance</w:t>
      </w:r>
    </w:p>
    <w:p>
      <w:pPr>
        <w:pStyle w:val="ListBullet"/>
        <w:numPr>
          <w:ilvl w:val="0"/>
          <w:numId w:val="1"/>
        </w:numPr>
        <w:spacing w:before="0" w:after="60"/>
        <w:contextualSpacing/>
        <w:rPr/>
      </w:pPr>
      <w:r>
        <w:rPr/>
        <w:t>[45] UL 9540 Energy Storage Testing — https://www.ul.com/services/energy-storage-system-testing-and-certification</w:t>
      </w:r>
    </w:p>
    <w:p>
      <w:pPr>
        <w:pStyle w:val="ListBullet"/>
        <w:numPr>
          <w:ilvl w:val="0"/>
          <w:numId w:val="1"/>
        </w:numPr>
        <w:spacing w:before="0" w:after="60"/>
        <w:contextualSpacing/>
        <w:rPr/>
      </w:pPr>
      <w:r>
        <w:rPr/>
        <w:t>[48] Con Edison Blue Book Section VII — https://www.coned.com/-/media/files/coned/documents/es/specs/electric/section-vii.pdf</w:t>
      </w:r>
    </w:p>
    <w:p>
      <w:pPr>
        <w:pStyle w:val="ListBullet"/>
        <w:numPr>
          <w:ilvl w:val="0"/>
          <w:numId w:val="1"/>
        </w:numPr>
        <w:spacing w:before="0" w:after="60"/>
        <w:contextualSpacing/>
        <w:rPr/>
      </w:pPr>
      <w:r>
        <w:rPr/>
        <w:t>[49] Con Edison MES-350 HT Metering — https://www.coned.com/-/media/files/coned/documents/es/specs/mes-350.pdf</w:t>
      </w:r>
    </w:p>
    <w:p>
      <w:pPr>
        <w:pStyle w:val="ListBullet"/>
        <w:numPr>
          <w:ilvl w:val="0"/>
          <w:numId w:val="1"/>
        </w:numPr>
        <w:spacing w:before="0" w:after="60"/>
        <w:contextualSpacing/>
        <w:rPr/>
      </w:pPr>
      <w:r>
        <w:rPr/>
        <w:t>[50] Eversource Yellow Book (CT) — https://www.eversource.com/content/docs/default-source/ct---pdfs/yellowbook.pdf</w:t>
      </w:r>
    </w:p>
    <w:p>
      <w:pPr>
        <w:pStyle w:val="ListBullet"/>
        <w:numPr>
          <w:ilvl w:val="0"/>
          <w:numId w:val="1"/>
        </w:numPr>
        <w:spacing w:before="0" w:after="60"/>
        <w:contextualSpacing/>
        <w:rPr/>
      </w:pPr>
      <w:r>
        <w:rPr/>
        <w:t>[52] PSE&amp;G Transmission Interconnection Requirements — https://www.pge.com/assets/pge/docs/about/doing-business-with-pge/063436.pdf</w:t>
      </w:r>
    </w:p>
    <w:p>
      <w:pPr>
        <w:pStyle w:val="ListBullet"/>
        <w:numPr>
          <w:ilvl w:val="0"/>
          <w:numId w:val="1"/>
        </w:numPr>
        <w:spacing w:before="0" w:after="60"/>
        <w:contextualSpacing/>
        <w:rPr/>
      </w:pPr>
      <w:r>
        <w:rPr/>
        <w:t>[55] NERC: IEEE 1547-2018 BPS Perspectives — https://www.nerc.com/globalassets/who-we-are/standing-committees/rstc/spiderwg/guideline-ieee_1547-2018_bps_perspectives_postpubs.pdf</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color w:val="808080"/>
        <w:sz w:val="18"/>
      </w:rPr>
      <w:t>S-UI-02: IEEE 2030.7/2030.8 Compliance Gap Analysis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color w:val="808080"/>
        <w:sz w:val="18"/>
      </w:rPr>
      <w:t>S-UI-02: IEEE 2030.7/2030.8 Compliance Gap Analysis Report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4"/>
    <w:lvlOverride w:ilvl="0">
      <w:startOverride w:val="1"/>
    </w:lvlOverride>
  </w:num>
  <w:num w:numId="17">
    <w:abstractNumId w:val="4"/>
    <w:lvlOverride w:ilvl="0">
      <w:startOverride w:val="1"/>
    </w:lvlOverride>
  </w:num>
  <w:num w:numId="18">
    <w:abstractNumId w:val="4"/>
    <w:lvlOverride w:ilvl="0">
      <w:startOverride w:val="1"/>
    </w:lvlOverride>
  </w:num>
  <w:num w:numId="19">
    <w:abstractNumId w:val="4"/>
    <w:lvlOverride w:ilvl="0">
      <w:startOverride w:val="1"/>
    </w:lvlOverride>
  </w:num>
  <w:num w:numId="20">
    <w:abstractNumId w:val="4"/>
    <w:lvlOverride w:ilvl="0">
      <w:startOverride w:val="1"/>
    </w:lvlOverride>
  </w:num>
  <w:num w:numId="21">
    <w:abstractNumId w:val="4"/>
    <w:lvlOverride w:ilvl="0">
      <w:startOverride w:val="1"/>
    </w:lvlOverride>
  </w:num>
  <w:num w:numId="22">
    <w:abstractNumId w:val="4"/>
    <w:lvlOverride w:ilvl="0">
      <w:startOverride w:val="1"/>
    </w:lvlOverride>
  </w:num>
  <w:num w:numId="23">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exact" w:line="280" w:before="0" w:after="120"/>
      <w:jc w:val="start"/>
    </w:pPr>
    <w:rPr>
      <w:rFonts w:ascii="Calibri" w:hAnsi="Calibri"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00467F"/>
      <w:sz w:val="32"/>
      <w:szCs w:val="28"/>
    </w:rPr>
  </w:style>
  <w:style w:type="paragraph" w:styleId="Heading2">
    <w:name w:val="heading 2"/>
    <w:basedOn w:val="Normal"/>
    <w:next w:val="Normal"/>
    <w:link w:val="Heading2Char"/>
    <w:uiPriority w:val="9"/>
    <w:unhideWhenUsed/>
    <w:qFormat/>
    <w:rsid w:val="00fc693f"/>
    <w:pPr>
      <w:keepNext w:val="true"/>
      <w:keepLines/>
      <w:spacing w:before="280" w:after="120"/>
      <w:outlineLvl w:val="1"/>
    </w:pPr>
    <w:rPr>
      <w:rFonts w:ascii="Calibri" w:hAnsi="Calibri" w:eastAsia="" w:cs="" w:asciiTheme="majorHAnsi" w:cstheme="majorBidi" w:eastAsiaTheme="majorEastAsia" w:hAnsiTheme="majorHAnsi"/>
      <w:b/>
      <w:bCs/>
      <w:color w:val="00467F"/>
      <w:sz w:val="26"/>
      <w:szCs w:val="26"/>
    </w:rPr>
  </w:style>
  <w:style w:type="paragraph" w:styleId="Heading3">
    <w:name w:val="heading 3"/>
    <w:basedOn w:val="Normal"/>
    <w:next w:val="Normal"/>
    <w:link w:val="Heading3Char"/>
    <w:uiPriority w:val="9"/>
    <w:unhideWhenUsed/>
    <w:qFormat/>
    <w:rsid w:val="00fc693f"/>
    <w:pPr>
      <w:keepNext w:val="true"/>
      <w:keepLines/>
      <w:spacing w:before="200" w:after="80"/>
      <w:outlineLvl w:val="2"/>
    </w:pPr>
    <w:rPr>
      <w:rFonts w:ascii="Calibri" w:hAnsi="Calibri" w:eastAsia="" w:cs="" w:asciiTheme="majorHAnsi" w:cstheme="majorBidi" w:eastAsiaTheme="majorEastAsia" w:hAnsiTheme="majorHAnsi"/>
      <w:b/>
      <w:bCs/>
      <w:color w:val="1F497D"/>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360" w:leader="dot"/>
      </w:tabs>
      <w:ind w:hanging="0" w:start="0"/>
    </w:pPr>
    <w:rPr/>
  </w:style>
  <w:style w:type="paragraph" w:styleId="TOC2">
    <w:name w:val="toc 2"/>
    <w:basedOn w:val="Index"/>
    <w:pPr>
      <w:tabs>
        <w:tab w:val="clear" w:pos="720"/>
        <w:tab w:val="right" w:pos="9077" w:leader="dot"/>
      </w:tabs>
      <w:ind w:hanging="0" w:start="283"/>
    </w:pPr>
    <w:rPr/>
  </w:style>
  <w:style w:type="paragraph" w:styleId="TOC3">
    <w:name w:val="toc 3"/>
    <w:basedOn w:val="Index"/>
    <w:pPr>
      <w:tabs>
        <w:tab w:val="clear" w:pos="720"/>
        <w:tab w:val="right" w:pos="8793" w:leader="dot"/>
      </w:tabs>
      <w:ind w:hanging="0" w:star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LibreOffice/26.2.3.2$Linux_X86_64 LibreOffice_project/70e089b17412e4cb7773e41413306b17a2328c34</Application>
  <AppVersion>15.0000</AppVersion>
  <Pages>38</Pages>
  <Words>8999</Words>
  <Characters>58594</Characters>
  <CharactersWithSpaces>66729</CharactersWithSpaces>
  <Paragraphs>780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2026-06-25T20:58:05Z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