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http://schemas.openxmlformats.org/wordprocessingml/2006/main">
  <w:body>
    <w:p>
      <w:r>
        <w:t xml:space="preserve">STATEMENT OF WORK</w:t>
      </w:r>
    </w:p>
    <w:p>
      <w:r>
        <w:t xml:space="preserve">This Statement of Work ("SOW") is made pursuant to and governed by the Master Services Agreement entered by and between Contoso Data Services, LLC ("Contoso" or "Client"), and SmarTek21 ("Supplier") dated [Agreement Date].</w:t>
      </w:r>
    </w:p>
    <w:p>
      <w:r>
        <w:t xml:space="preserve">Project Background</w:t>
      </w:r>
    </w:p>
    <w:p>
      <w:r>
        <w:t xml:space="preserve">Client has engaged Supplier to conduct a Phase 1 Discovery and High-Level Assessment of its order-management estate.</w:t>
      </w:r>
    </w:p>
    <w:p>
      <w:r>
        <w:t xml:space="preserve">Scope of Work</w:t>
      </w:r>
    </w:p>
    <w:p>
      <w:r>
        <w:t xml:space="preserve">Supplier will run a three-day onsite discovery, a use-case inventory workshop, and a findings playback.</w:t>
      </w:r>
    </w:p>
    <w:p>
      <w:r>
        <w:t xml:space="preserve">Schedule</w:t>
      </w:r>
    </w:p>
    <w:tbl>
      <w:tblPr/>
      <w:tr>
        <w:tc>
          <w:tcPr/>
          <w:p>
            <w:r>
              <w:t xml:space="preserve">Day</w:t>
            </w:r>
          </w:p>
        </w:tc>
        <w:tc>
          <w:tcPr/>
          <w:p>
            <w:r>
              <w:t xml:space="preserve">Date</w:t>
            </w:r>
          </w:p>
        </w:tc>
        <w:tc>
          <w:tcPr/>
          <w:p>
            <w:r>
              <w:t xml:space="preserve">Focus</w:t>
            </w:r>
          </w:p>
        </w:tc>
      </w:tr>
      <w:tr>
        <w:tc>
          <w:tcPr/>
          <w:p>
            <w:r>
              <w:t xml:space="preserve">Day 1</w:t>
            </w:r>
          </w:p>
        </w:tc>
        <w:tc>
          <w:tcPr/>
          <w:p>
            <w:r>
              <w:t xml:space="preserve">Mon, Mar 2, 2026</w:t>
            </w:r>
          </w:p>
        </w:tc>
        <w:tc>
          <w:tcPr/>
          <w:p>
            <w:r>
              <w:t xml:space="preserve">Kickoff and executive interviews</w:t>
            </w:r>
          </w:p>
        </w:tc>
      </w:tr>
      <w:tr>
        <w:tc>
          <w:tcPr/>
          <w:p>
            <w:r>
              <w:t xml:space="preserve">Day 2</w:t>
            </w:r>
          </w:p>
        </w:tc>
        <w:tc>
          <w:tcPr/>
          <w:p>
            <w:r>
              <w:t xml:space="preserve">Tue, Mar 3, 2026</w:t>
            </w:r>
          </w:p>
        </w:tc>
        <w:tc>
          <w:tcPr/>
          <w:p>
            <w:r>
              <w:t xml:space="preserve">Technical review and process mapping</w:t>
            </w:r>
          </w:p>
        </w:tc>
      </w:tr>
      <w:tr>
        <w:tc>
          <w:tcPr/>
          <w:p>
            <w:r>
              <w:t xml:space="preserve">Day 3</w:t>
            </w:r>
          </w:p>
        </w:tc>
        <w:tc>
          <w:tcPr/>
          <w:p>
            <w:r>
              <w:t xml:space="preserve">Wed, Mar 4, 2026</w:t>
            </w:r>
          </w:p>
        </w:tc>
        <w:tc>
          <w:tcPr/>
          <w:p>
            <w:r>
              <w:t xml:space="preserve">Feasibility and roadmap session</w:t>
            </w:r>
          </w:p>
        </w:tc>
      </w:tr>
    </w:tbl>
    <w:p>
      <w:r>
        <w:t xml:space="preserve">Deliverables</w:t>
      </w:r>
    </w:p>
    <w:p>
      <w:r>
        <w:t xml:space="preserve">1. Current-state assessment report.</w:t>
      </w:r>
    </w:p>
    <w:p>
      <w:r>
        <w:t xml:space="preserve">2. Prioritised use-case inventory.</w:t>
      </w:r>
    </w:p>
    <w:p>
      <w:r>
        <w:t xml:space="preserve">3. High-level roadmap and indicative costs.</w:t>
      </w:r>
    </w:p>
    <w:p>
      <w:r>
        <w:t xml:space="preserve">Fees</w:t>
      </w:r>
    </w:p>
    <w:p>
      <w:r>
        <w:t xml:space="preserve">Client shall pay Supplier a fixed fee of $75,000.00 for this engagement. Invoices are payable Net 30 from the invoice date.</w:t>
      </w:r>
    </w:p>
    <w:p>
      <w:r>
        <w:t xml:space="preserve">Term</w:t>
      </w:r>
    </w:p>
    <w:p>
      <w:r>
        <w:t xml:space="preserve">This SOW commences on Mar 2, 2026 and continues until [End Date] unless terminated earlier in accordance with the Agreement.</w:t>
      </w:r>
    </w:p>
    <w:p>
      <w:r>
        <w:t xml:space="preserve">Assumptions</w:t>
      </w:r>
    </w:p>
    <w:p>
      <w:r>
        <w:t xml:space="preserve">Client makes stakeholders available for scheduled sessions.</w:t>
      </w:r>
    </w:p>
    <w:p>
      <w:r>
        <w:t xml:space="preserve">Exclusions</w:t>
      </w:r>
    </w:p>
    <w:p>
      <w:r>
        <w:t xml:space="preserve">Implementation, licence procurement and managed services are excluded.</w:t>
      </w:r>
    </w:p>
    <w:sectPr/>
  </w:body>
</w:document>
</file>