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01A5" w14:textId="77777777" w:rsidR="003A14A7" w:rsidRDefault="00000000">
      <w:pPr>
        <w:spacing w:after="240"/>
        <w:jc w:val="center"/>
      </w:pPr>
      <w:r>
        <w:rPr>
          <w:rFonts w:ascii="Calibri" w:eastAsia="Calibri" w:hAnsi="Calibri" w:cs="Calibri"/>
          <w:b/>
          <w:bCs/>
          <w:sz w:val="32"/>
          <w:szCs w:val="32"/>
        </w:rPr>
        <w:t>STATEMENT OF WORK</w:t>
      </w:r>
    </w:p>
    <w:p w14:paraId="6A6FEC6F" w14:textId="6B06F174" w:rsidR="003A14A7" w:rsidRDefault="00000000">
      <w:pPr>
        <w:spacing w:after="120"/>
      </w:pPr>
      <w:r>
        <w:rPr>
          <w:rFonts w:ascii="Calibri" w:eastAsia="Calibri" w:hAnsi="Calibri" w:cs="Calibri"/>
          <w:sz w:val="22"/>
          <w:szCs w:val="22"/>
        </w:rPr>
        <w:t xml:space="preserve">This Statement of Work ("SOW") is made pursuant to and governed by the Agreement </w:t>
      </w:r>
      <w:r w:rsidR="00503FBE">
        <w:rPr>
          <w:rFonts w:ascii="Calibri" w:eastAsia="Calibri" w:hAnsi="Calibri" w:cs="Calibri"/>
          <w:sz w:val="22"/>
          <w:szCs w:val="22"/>
        </w:rPr>
        <w:t>entered</w:t>
      </w:r>
      <w:r>
        <w:rPr>
          <w:rFonts w:ascii="Calibri" w:eastAsia="Calibri" w:hAnsi="Calibri" w:cs="Calibri"/>
          <w:sz w:val="22"/>
          <w:szCs w:val="22"/>
        </w:rPr>
        <w:t xml:space="preserve"> by and between Peppermill Casino’s, LLC ("Peppermill" or "Client" or "Customer"), and SmarTek21 ("Supplier") dated [Agreement Date] as amended ("Agreement"). This SOW is effective as of [SOW Effective Date] ("SOW Effective Date"). Any defined terms used herein that are not otherwise defined in this SOW will have the meanings assigned to them in the Agreement.</w:t>
      </w:r>
    </w:p>
    <w:p w14:paraId="62CE41D4" w14:textId="77777777" w:rsidR="003A14A7" w:rsidRDefault="00000000">
      <w:pPr>
        <w:spacing w:before="280" w:after="140"/>
      </w:pPr>
      <w:r>
        <w:rPr>
          <w:rFonts w:ascii="Calibri" w:eastAsia="Calibri" w:hAnsi="Calibri" w:cs="Calibri"/>
          <w:b/>
          <w:bCs/>
          <w:sz w:val="24"/>
          <w:szCs w:val="24"/>
        </w:rPr>
        <w:t>Project Background</w:t>
      </w:r>
    </w:p>
    <w:p w14:paraId="740703BE" w14:textId="6E57DCFD" w:rsidR="003A14A7" w:rsidRDefault="00000000">
      <w:pPr>
        <w:spacing w:after="120"/>
      </w:pPr>
      <w:r>
        <w:rPr>
          <w:rFonts w:ascii="Calibri" w:eastAsia="Calibri" w:hAnsi="Calibri" w:cs="Calibri"/>
          <w:sz w:val="22"/>
          <w:szCs w:val="22"/>
        </w:rPr>
        <w:t>Peppermill has engaged SmarTek21 to conduct a Phase 1 Discovery and High-Level Assessment to evaluate current GenAI initiatives, assess readiness of key platforms, and develop a prioritized roadmap that connects technology investment to measurable business impact. This Phase 1 engagement is the first stage of a phased approach</w:t>
      </w:r>
      <w:r w:rsidR="00503FBE">
        <w:rPr>
          <w:rFonts w:ascii="Calibri" w:eastAsia="Calibri" w:hAnsi="Calibri" w:cs="Calibri"/>
          <w:sz w:val="22"/>
          <w:szCs w:val="22"/>
        </w:rPr>
        <w:t>,</w:t>
      </w:r>
      <w:r>
        <w:rPr>
          <w:rFonts w:ascii="Calibri" w:eastAsia="Calibri" w:hAnsi="Calibri" w:cs="Calibri"/>
          <w:sz w:val="22"/>
          <w:szCs w:val="22"/>
        </w:rPr>
        <w:t xml:space="preserve"> scope for any subsequent phase(s) (Detailed Assessment, Proof of Concept) will be defined under a separate SOW.</w:t>
      </w:r>
    </w:p>
    <w:p w14:paraId="4C278E94" w14:textId="77777777" w:rsidR="003A14A7" w:rsidRDefault="00000000">
      <w:pPr>
        <w:spacing w:before="280" w:after="140"/>
      </w:pPr>
      <w:r>
        <w:rPr>
          <w:rFonts w:ascii="Calibri" w:eastAsia="Calibri" w:hAnsi="Calibri" w:cs="Calibri"/>
          <w:b/>
          <w:bCs/>
          <w:sz w:val="24"/>
          <w:szCs w:val="24"/>
        </w:rPr>
        <w:t>Project Objectives</w:t>
      </w:r>
    </w:p>
    <w:p w14:paraId="249595AA" w14:textId="6FE82B70" w:rsidR="003A14A7" w:rsidRDefault="00000000">
      <w:pPr>
        <w:spacing w:after="120"/>
      </w:pPr>
      <w:r>
        <w:rPr>
          <w:rFonts w:ascii="Calibri" w:eastAsia="Calibri" w:hAnsi="Calibri" w:cs="Calibri"/>
          <w:sz w:val="22"/>
          <w:szCs w:val="22"/>
        </w:rPr>
        <w:t>SmarTek21 will conduct a structured discovery assessment across three parallel tracks</w:t>
      </w:r>
      <w:r w:rsidR="00503FBE">
        <w:rPr>
          <w:rFonts w:ascii="Calibri" w:eastAsia="Calibri" w:hAnsi="Calibri" w:cs="Calibri"/>
          <w:sz w:val="22"/>
          <w:szCs w:val="22"/>
        </w:rPr>
        <w:t>,</w:t>
      </w:r>
      <w:r>
        <w:rPr>
          <w:rFonts w:ascii="Calibri" w:eastAsia="Calibri" w:hAnsi="Calibri" w:cs="Calibri"/>
          <w:sz w:val="22"/>
          <w:szCs w:val="22"/>
        </w:rPr>
        <w:t xml:space="preserve"> Technical Review, Business Direction &amp; Value Mapping, and Feasibility &amp; Roadmap Mapping</w:t>
      </w:r>
      <w:r w:rsidR="00503FBE">
        <w:rPr>
          <w:rFonts w:ascii="Calibri" w:eastAsia="Calibri" w:hAnsi="Calibri" w:cs="Calibri"/>
          <w:sz w:val="22"/>
          <w:szCs w:val="22"/>
        </w:rPr>
        <w:t>,</w:t>
      </w:r>
      <w:r>
        <w:rPr>
          <w:rFonts w:ascii="Calibri" w:eastAsia="Calibri" w:hAnsi="Calibri" w:cs="Calibri"/>
          <w:sz w:val="22"/>
          <w:szCs w:val="22"/>
        </w:rPr>
        <w:t xml:space="preserve"> culminating in a single executive roadmap. This includes:</w:t>
      </w:r>
    </w:p>
    <w:p w14:paraId="199B62B1" w14:textId="77777777" w:rsidR="003A14A7" w:rsidRDefault="00000000">
      <w:pPr>
        <w:pStyle w:val="ListParagraph"/>
        <w:numPr>
          <w:ilvl w:val="0"/>
          <w:numId w:val="2"/>
        </w:numPr>
        <w:spacing w:after="60"/>
      </w:pPr>
      <w:r>
        <w:rPr>
          <w:rFonts w:ascii="Calibri" w:eastAsia="Calibri" w:hAnsi="Calibri" w:cs="Calibri"/>
          <w:sz w:val="22"/>
          <w:szCs w:val="22"/>
        </w:rPr>
        <w:t>Evaluating current GenAI initiatives and platform readiness across Peppermill’s technology landscape (Oracle, ServiceNow, Azure, and others)</w:t>
      </w:r>
    </w:p>
    <w:p w14:paraId="7925E229" w14:textId="77777777" w:rsidR="003A14A7" w:rsidRDefault="00000000">
      <w:pPr>
        <w:pStyle w:val="ListParagraph"/>
        <w:numPr>
          <w:ilvl w:val="0"/>
          <w:numId w:val="2"/>
        </w:numPr>
        <w:spacing w:after="60"/>
      </w:pPr>
      <w:r>
        <w:rPr>
          <w:rFonts w:ascii="Calibri" w:eastAsia="Calibri" w:hAnsi="Calibri" w:cs="Calibri"/>
          <w:sz w:val="22"/>
          <w:szCs w:val="22"/>
        </w:rPr>
        <w:t>Building an inventory of current and proposed GenAI, automation, and manual-process use cases</w:t>
      </w:r>
    </w:p>
    <w:p w14:paraId="3D623222" w14:textId="77777777" w:rsidR="003A14A7" w:rsidRDefault="00000000">
      <w:pPr>
        <w:pStyle w:val="ListParagraph"/>
        <w:numPr>
          <w:ilvl w:val="0"/>
          <w:numId w:val="2"/>
        </w:numPr>
        <w:spacing w:after="60"/>
      </w:pPr>
      <w:r>
        <w:rPr>
          <w:rFonts w:ascii="Calibri" w:eastAsia="Calibri" w:hAnsi="Calibri" w:cs="Calibri"/>
          <w:sz w:val="22"/>
          <w:szCs w:val="22"/>
        </w:rPr>
        <w:t>Identifying overlaps, redundancies, and integration gaps across point solutions</w:t>
      </w:r>
    </w:p>
    <w:p w14:paraId="7B2A2A46" w14:textId="77777777" w:rsidR="003A14A7" w:rsidRDefault="00000000">
      <w:pPr>
        <w:pStyle w:val="ListParagraph"/>
        <w:numPr>
          <w:ilvl w:val="0"/>
          <w:numId w:val="2"/>
        </w:numPr>
        <w:spacing w:after="60"/>
      </w:pPr>
      <w:r>
        <w:rPr>
          <w:rFonts w:ascii="Calibri" w:eastAsia="Calibri" w:hAnsi="Calibri" w:cs="Calibri"/>
          <w:sz w:val="22"/>
          <w:szCs w:val="22"/>
        </w:rPr>
        <w:t>Delivering an executive briefing and high-level GenAI roadmap, with a prioritized use case backlog and one (1) recommended proof-point use case for potential follow-on phases</w:t>
      </w:r>
    </w:p>
    <w:p w14:paraId="1BA4BD29" w14:textId="77777777" w:rsidR="003A14A7" w:rsidRDefault="00000000">
      <w:pPr>
        <w:spacing w:before="280" w:after="140"/>
      </w:pPr>
      <w:r>
        <w:rPr>
          <w:rFonts w:ascii="Calibri" w:eastAsia="Calibri" w:hAnsi="Calibri" w:cs="Calibri"/>
          <w:b/>
          <w:bCs/>
          <w:sz w:val="24"/>
          <w:szCs w:val="24"/>
        </w:rPr>
        <w:t>Scope of Work</w:t>
      </w:r>
    </w:p>
    <w:p w14:paraId="19F99FF2" w14:textId="77777777" w:rsidR="003A14A7" w:rsidRDefault="00000000">
      <w:pPr>
        <w:spacing w:before="160" w:after="80"/>
      </w:pPr>
      <w:r>
        <w:rPr>
          <w:rFonts w:ascii="Calibri" w:eastAsia="Calibri" w:hAnsi="Calibri" w:cs="Calibri"/>
          <w:b/>
          <w:bCs/>
          <w:sz w:val="22"/>
          <w:szCs w:val="22"/>
          <w:u w:val="single"/>
        </w:rPr>
        <w:t>In-Scope Activities</w:t>
      </w:r>
    </w:p>
    <w:p w14:paraId="1879B66C" w14:textId="77777777" w:rsidR="003A14A7" w:rsidRDefault="00000000">
      <w:pPr>
        <w:spacing w:before="160" w:after="80"/>
      </w:pPr>
      <w:r>
        <w:rPr>
          <w:rFonts w:ascii="Calibri" w:eastAsia="Calibri" w:hAnsi="Calibri" w:cs="Calibri"/>
          <w:b/>
          <w:bCs/>
          <w:sz w:val="22"/>
          <w:szCs w:val="22"/>
          <w:u w:val="single"/>
        </w:rPr>
        <w:t>Track 1 – Technical Review</w:t>
      </w:r>
    </w:p>
    <w:p w14:paraId="105806DC" w14:textId="77777777" w:rsidR="003A14A7" w:rsidRDefault="00000000">
      <w:pPr>
        <w:pStyle w:val="ListParagraph"/>
        <w:numPr>
          <w:ilvl w:val="0"/>
          <w:numId w:val="2"/>
        </w:numPr>
        <w:spacing w:after="60"/>
      </w:pPr>
      <w:r>
        <w:rPr>
          <w:rFonts w:ascii="Calibri" w:eastAsia="Calibri" w:hAnsi="Calibri" w:cs="Calibri"/>
          <w:sz w:val="22"/>
          <w:szCs w:val="22"/>
        </w:rPr>
        <w:t>Review and score GenAI capabilities across current platforms and third-party systems (Oracle, ServiceNow, custom applications)</w:t>
      </w:r>
    </w:p>
    <w:p w14:paraId="1C0BCD30" w14:textId="77777777" w:rsidR="003A14A7" w:rsidRDefault="00000000">
      <w:pPr>
        <w:pStyle w:val="ListParagraph"/>
        <w:numPr>
          <w:ilvl w:val="0"/>
          <w:numId w:val="2"/>
        </w:numPr>
        <w:spacing w:after="60"/>
      </w:pPr>
      <w:r>
        <w:rPr>
          <w:rFonts w:ascii="Calibri" w:eastAsia="Calibri" w:hAnsi="Calibri" w:cs="Calibri"/>
          <w:sz w:val="22"/>
          <w:szCs w:val="22"/>
        </w:rPr>
        <w:t>Assess availability of real-time interoperability across departments</w:t>
      </w:r>
    </w:p>
    <w:p w14:paraId="0BCB64CF" w14:textId="77777777" w:rsidR="003A14A7" w:rsidRDefault="00000000">
      <w:pPr>
        <w:pStyle w:val="ListParagraph"/>
        <w:numPr>
          <w:ilvl w:val="0"/>
          <w:numId w:val="2"/>
        </w:numPr>
        <w:spacing w:after="60"/>
      </w:pPr>
      <w:r>
        <w:rPr>
          <w:rFonts w:ascii="Calibri" w:eastAsia="Calibri" w:hAnsi="Calibri" w:cs="Calibri"/>
          <w:sz w:val="22"/>
          <w:szCs w:val="22"/>
        </w:rPr>
        <w:t>Evaluate standardization and optimization of existing processes</w:t>
      </w:r>
    </w:p>
    <w:p w14:paraId="14E71FC9" w14:textId="77777777" w:rsidR="003A14A7" w:rsidRDefault="00000000">
      <w:pPr>
        <w:pStyle w:val="ListParagraph"/>
        <w:numPr>
          <w:ilvl w:val="0"/>
          <w:numId w:val="2"/>
        </w:numPr>
        <w:spacing w:after="60"/>
      </w:pPr>
      <w:r>
        <w:rPr>
          <w:rFonts w:ascii="Calibri" w:eastAsia="Calibri" w:hAnsi="Calibri" w:cs="Calibri"/>
          <w:sz w:val="22"/>
          <w:szCs w:val="22"/>
        </w:rPr>
        <w:t>Identify value-added vs. non-value-added activities</w:t>
      </w:r>
    </w:p>
    <w:p w14:paraId="01BB198C" w14:textId="77777777" w:rsidR="003A14A7" w:rsidRDefault="00000000">
      <w:pPr>
        <w:pStyle w:val="ListParagraph"/>
        <w:numPr>
          <w:ilvl w:val="0"/>
          <w:numId w:val="2"/>
        </w:numPr>
        <w:spacing w:after="60"/>
      </w:pPr>
      <w:r>
        <w:rPr>
          <w:rFonts w:ascii="Calibri" w:eastAsia="Calibri" w:hAnsi="Calibri" w:cs="Calibri"/>
          <w:sz w:val="22"/>
          <w:szCs w:val="22"/>
        </w:rPr>
        <w:t>Assess equipment availability and workspace organization</w:t>
      </w:r>
    </w:p>
    <w:p w14:paraId="01CFB3D4" w14:textId="77777777" w:rsidR="003A14A7" w:rsidRDefault="00000000">
      <w:pPr>
        <w:pStyle w:val="ListParagraph"/>
        <w:numPr>
          <w:ilvl w:val="0"/>
          <w:numId w:val="2"/>
        </w:numPr>
        <w:spacing w:after="60"/>
      </w:pPr>
      <w:r>
        <w:rPr>
          <w:rFonts w:ascii="Calibri" w:eastAsia="Calibri" w:hAnsi="Calibri" w:cs="Calibri"/>
          <w:sz w:val="22"/>
          <w:szCs w:val="22"/>
        </w:rPr>
        <w:t>Evaluate staffing alignment relative to operational demand</w:t>
      </w:r>
    </w:p>
    <w:p w14:paraId="183286B1" w14:textId="77777777" w:rsidR="003A14A7" w:rsidRDefault="00000000">
      <w:pPr>
        <w:spacing w:before="160" w:after="80"/>
      </w:pPr>
      <w:r>
        <w:rPr>
          <w:rFonts w:ascii="Calibri" w:eastAsia="Calibri" w:hAnsi="Calibri" w:cs="Calibri"/>
          <w:b/>
          <w:bCs/>
          <w:sz w:val="22"/>
          <w:szCs w:val="22"/>
          <w:u w:val="single"/>
        </w:rPr>
        <w:t>Track 2 – Business Direction &amp; Value Mapping</w:t>
      </w:r>
    </w:p>
    <w:p w14:paraId="6565E107" w14:textId="77777777" w:rsidR="003A14A7" w:rsidRDefault="00000000">
      <w:pPr>
        <w:pStyle w:val="ListParagraph"/>
        <w:numPr>
          <w:ilvl w:val="0"/>
          <w:numId w:val="2"/>
        </w:numPr>
        <w:spacing w:after="60"/>
      </w:pPr>
      <w:r>
        <w:rPr>
          <w:rFonts w:ascii="Calibri" w:eastAsia="Calibri" w:hAnsi="Calibri" w:cs="Calibri"/>
          <w:sz w:val="22"/>
          <w:szCs w:val="22"/>
        </w:rPr>
        <w:t>Review business direction and 5-year strategic outlook</w:t>
      </w:r>
    </w:p>
    <w:p w14:paraId="1076AC9F" w14:textId="77777777" w:rsidR="003A14A7" w:rsidRDefault="00000000">
      <w:pPr>
        <w:pStyle w:val="ListParagraph"/>
        <w:numPr>
          <w:ilvl w:val="0"/>
          <w:numId w:val="2"/>
        </w:numPr>
        <w:spacing w:after="60"/>
      </w:pPr>
      <w:r>
        <w:rPr>
          <w:rFonts w:ascii="Calibri" w:eastAsia="Calibri" w:hAnsi="Calibri" w:cs="Calibri"/>
          <w:sz w:val="22"/>
          <w:szCs w:val="22"/>
        </w:rPr>
        <w:t>Map business value and requirements at a program level</w:t>
      </w:r>
    </w:p>
    <w:p w14:paraId="33C90051" w14:textId="77777777" w:rsidR="003A14A7" w:rsidRDefault="00000000">
      <w:pPr>
        <w:pStyle w:val="ListParagraph"/>
        <w:numPr>
          <w:ilvl w:val="0"/>
          <w:numId w:val="2"/>
        </w:numPr>
        <w:spacing w:after="60"/>
      </w:pPr>
      <w:r>
        <w:rPr>
          <w:rFonts w:ascii="Calibri" w:eastAsia="Calibri" w:hAnsi="Calibri" w:cs="Calibri"/>
          <w:sz w:val="22"/>
          <w:szCs w:val="22"/>
        </w:rPr>
        <w:t>Establish a business-unit / program-management view of AI initiatives</w:t>
      </w:r>
    </w:p>
    <w:p w14:paraId="411DF1E0" w14:textId="77777777" w:rsidR="003A14A7" w:rsidRDefault="00000000">
      <w:pPr>
        <w:pStyle w:val="ListParagraph"/>
        <w:numPr>
          <w:ilvl w:val="0"/>
          <w:numId w:val="2"/>
        </w:numPr>
        <w:spacing w:after="60"/>
      </w:pPr>
      <w:r>
        <w:rPr>
          <w:rFonts w:ascii="Calibri" w:eastAsia="Calibri" w:hAnsi="Calibri" w:cs="Calibri"/>
          <w:sz w:val="22"/>
          <w:szCs w:val="22"/>
        </w:rPr>
        <w:t>Define an approach for continual assessment of value, business gains, and cost</w:t>
      </w:r>
    </w:p>
    <w:p w14:paraId="34D4FF09" w14:textId="77777777" w:rsidR="003A14A7" w:rsidRDefault="00000000">
      <w:pPr>
        <w:pStyle w:val="ListParagraph"/>
        <w:numPr>
          <w:ilvl w:val="0"/>
          <w:numId w:val="2"/>
        </w:numPr>
        <w:spacing w:after="60"/>
      </w:pPr>
      <w:r>
        <w:rPr>
          <w:rFonts w:ascii="Calibri" w:eastAsia="Calibri" w:hAnsi="Calibri" w:cs="Calibri"/>
          <w:sz w:val="22"/>
          <w:szCs w:val="22"/>
        </w:rPr>
        <w:lastRenderedPageBreak/>
        <w:t>Determine what operational metrics are tracked, how frequently they are updated, and how accessible they are</w:t>
      </w:r>
    </w:p>
    <w:p w14:paraId="6A48BBE2" w14:textId="77777777" w:rsidR="003A14A7" w:rsidRDefault="00000000">
      <w:pPr>
        <w:pStyle w:val="ListParagraph"/>
        <w:numPr>
          <w:ilvl w:val="0"/>
          <w:numId w:val="2"/>
        </w:numPr>
        <w:spacing w:after="60"/>
      </w:pPr>
      <w:r>
        <w:rPr>
          <w:rFonts w:ascii="Calibri" w:eastAsia="Calibri" w:hAnsi="Calibri" w:cs="Calibri"/>
          <w:sz w:val="22"/>
          <w:szCs w:val="22"/>
        </w:rPr>
        <w:t>Review existing KPIs and accountability structures for improvement</w:t>
      </w:r>
    </w:p>
    <w:p w14:paraId="035CAF1D" w14:textId="77777777" w:rsidR="003A14A7" w:rsidRDefault="00000000">
      <w:pPr>
        <w:spacing w:before="160" w:after="80"/>
      </w:pPr>
      <w:r>
        <w:rPr>
          <w:rFonts w:ascii="Calibri" w:eastAsia="Calibri" w:hAnsi="Calibri" w:cs="Calibri"/>
          <w:b/>
          <w:bCs/>
          <w:sz w:val="22"/>
          <w:szCs w:val="22"/>
          <w:u w:val="single"/>
        </w:rPr>
        <w:t>Track 3 – Feasibility &amp; Roadmap Mapping</w:t>
      </w:r>
    </w:p>
    <w:p w14:paraId="15B68F21" w14:textId="77777777" w:rsidR="003A14A7" w:rsidRDefault="00000000">
      <w:pPr>
        <w:pStyle w:val="ListParagraph"/>
        <w:numPr>
          <w:ilvl w:val="0"/>
          <w:numId w:val="2"/>
        </w:numPr>
        <w:spacing w:after="60"/>
      </w:pPr>
      <w:r>
        <w:rPr>
          <w:rFonts w:ascii="Calibri" w:eastAsia="Calibri" w:hAnsi="Calibri" w:cs="Calibri"/>
          <w:sz w:val="22"/>
          <w:szCs w:val="22"/>
        </w:rPr>
        <w:t>Review AI adoption to date, including key use cases and associated ROI/business value</w:t>
      </w:r>
    </w:p>
    <w:p w14:paraId="179DA32E" w14:textId="77777777" w:rsidR="003A14A7" w:rsidRDefault="00000000">
      <w:pPr>
        <w:pStyle w:val="ListParagraph"/>
        <w:numPr>
          <w:ilvl w:val="0"/>
          <w:numId w:val="2"/>
        </w:numPr>
        <w:spacing w:after="60"/>
      </w:pPr>
      <w:r>
        <w:rPr>
          <w:rFonts w:ascii="Calibri" w:eastAsia="Calibri" w:hAnsi="Calibri" w:cs="Calibri"/>
          <w:sz w:val="22"/>
          <w:szCs w:val="22"/>
        </w:rPr>
        <w:t>Map priorities to an executive roadmap and gauge leadership interest in innovation</w:t>
      </w:r>
    </w:p>
    <w:p w14:paraId="1589EC69" w14:textId="77777777" w:rsidR="003A14A7" w:rsidRDefault="00000000">
      <w:pPr>
        <w:pStyle w:val="ListParagraph"/>
        <w:numPr>
          <w:ilvl w:val="0"/>
          <w:numId w:val="2"/>
        </w:numPr>
        <w:spacing w:after="60"/>
      </w:pPr>
      <w:r>
        <w:rPr>
          <w:rFonts w:ascii="Calibri" w:eastAsia="Calibri" w:hAnsi="Calibri" w:cs="Calibri"/>
          <w:sz w:val="22"/>
          <w:szCs w:val="22"/>
        </w:rPr>
        <w:t>Establish a feedback loop to evaluate frontline engagement with generative AI</w:t>
      </w:r>
    </w:p>
    <w:p w14:paraId="673F43AC" w14:textId="77777777" w:rsidR="003A14A7" w:rsidRDefault="00000000">
      <w:pPr>
        <w:pStyle w:val="ListParagraph"/>
        <w:numPr>
          <w:ilvl w:val="0"/>
          <w:numId w:val="2"/>
        </w:numPr>
        <w:spacing w:after="60"/>
      </w:pPr>
      <w:r>
        <w:rPr>
          <w:rFonts w:ascii="Calibri" w:eastAsia="Calibri" w:hAnsi="Calibri" w:cs="Calibri"/>
          <w:sz w:val="22"/>
          <w:szCs w:val="22"/>
        </w:rPr>
        <w:t>Define clear KPIs for performance expectations tied to GenAI initiatives</w:t>
      </w:r>
    </w:p>
    <w:p w14:paraId="0113FAED" w14:textId="77777777" w:rsidR="003A14A7" w:rsidRDefault="00000000">
      <w:pPr>
        <w:pStyle w:val="ListParagraph"/>
        <w:numPr>
          <w:ilvl w:val="0"/>
          <w:numId w:val="2"/>
        </w:numPr>
        <w:spacing w:after="60"/>
      </w:pPr>
      <w:r>
        <w:rPr>
          <w:rFonts w:ascii="Calibri" w:eastAsia="Calibri" w:hAnsi="Calibri" w:cs="Calibri"/>
          <w:sz w:val="22"/>
          <w:szCs w:val="22"/>
        </w:rPr>
        <w:t>Evaluate organizational willingness to continuously improve operations through generative AI</w:t>
      </w:r>
    </w:p>
    <w:p w14:paraId="768DF69D" w14:textId="77777777" w:rsidR="003A14A7" w:rsidRDefault="00000000">
      <w:pPr>
        <w:spacing w:before="160" w:after="80"/>
      </w:pPr>
      <w:r>
        <w:rPr>
          <w:rFonts w:ascii="Calibri" w:eastAsia="Calibri" w:hAnsi="Calibri" w:cs="Calibri"/>
          <w:b/>
          <w:bCs/>
          <w:sz w:val="22"/>
          <w:szCs w:val="22"/>
          <w:u w:val="single"/>
        </w:rPr>
        <w:t>Onsite &amp; Virtual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3A14A7" w14:paraId="0BB18969" w14:textId="77777777">
        <w:tblPrEx>
          <w:tblCellMar>
            <w:top w:w="0" w:type="dxa"/>
            <w:bottom w:w="0" w:type="dxa"/>
          </w:tblCellMar>
        </w:tblPrEx>
        <w:trPr>
          <w:cantSplit/>
        </w:trPr>
        <w:tc>
          <w:tcPr>
            <w:tcW w:w="1400" w:type="dxa"/>
            <w:shd w:val="clear" w:color="auto" w:fill="D9D9D9"/>
          </w:tcPr>
          <w:p w14:paraId="3F3ADECC" w14:textId="77777777" w:rsidR="003A14A7" w:rsidRDefault="00000000">
            <w:r>
              <w:rPr>
                <w:rFonts w:ascii="Calibri" w:eastAsia="Calibri" w:hAnsi="Calibri" w:cs="Calibri"/>
                <w:b/>
                <w:bCs/>
              </w:rPr>
              <w:t>Day</w:t>
            </w:r>
          </w:p>
        </w:tc>
        <w:tc>
          <w:tcPr>
            <w:tcW w:w="1800" w:type="dxa"/>
            <w:shd w:val="clear" w:color="auto" w:fill="D9D9D9"/>
          </w:tcPr>
          <w:p w14:paraId="5081FD91" w14:textId="77777777" w:rsidR="003A14A7" w:rsidRDefault="00000000">
            <w:r>
              <w:rPr>
                <w:rFonts w:ascii="Calibri" w:eastAsia="Calibri" w:hAnsi="Calibri" w:cs="Calibri"/>
                <w:b/>
                <w:bCs/>
              </w:rPr>
              <w:t>Date</w:t>
            </w:r>
          </w:p>
        </w:tc>
        <w:tc>
          <w:tcPr>
            <w:tcW w:w="6160" w:type="dxa"/>
            <w:shd w:val="clear" w:color="auto" w:fill="D9D9D9"/>
          </w:tcPr>
          <w:p w14:paraId="25E98C21" w14:textId="77777777" w:rsidR="003A14A7" w:rsidRDefault="00000000">
            <w:r>
              <w:rPr>
                <w:rFonts w:ascii="Calibri" w:eastAsia="Calibri" w:hAnsi="Calibri" w:cs="Calibri"/>
                <w:b/>
                <w:bCs/>
              </w:rPr>
              <w:t>Focus</w:t>
            </w:r>
          </w:p>
        </w:tc>
      </w:tr>
      <w:tr w:rsidR="003A14A7" w14:paraId="684F0EF6" w14:textId="77777777">
        <w:tblPrEx>
          <w:tblCellMar>
            <w:top w:w="0" w:type="dxa"/>
            <w:bottom w:w="0" w:type="dxa"/>
          </w:tblCellMar>
        </w:tblPrEx>
        <w:trPr>
          <w:cantSplit/>
        </w:trPr>
        <w:tc>
          <w:tcPr>
            <w:tcW w:w="1400" w:type="dxa"/>
          </w:tcPr>
          <w:p w14:paraId="34F13632" w14:textId="77777777" w:rsidR="003A14A7" w:rsidRDefault="00000000">
            <w:r>
              <w:rPr>
                <w:rFonts w:ascii="Calibri" w:eastAsia="Calibri" w:hAnsi="Calibri" w:cs="Calibri"/>
              </w:rPr>
              <w:t>Day 1</w:t>
            </w:r>
          </w:p>
        </w:tc>
        <w:tc>
          <w:tcPr>
            <w:tcW w:w="1800" w:type="dxa"/>
          </w:tcPr>
          <w:p w14:paraId="24B8E6B8" w14:textId="77777777" w:rsidR="003A14A7" w:rsidRDefault="00000000">
            <w:r>
              <w:rPr>
                <w:rFonts w:ascii="Calibri" w:eastAsia="Calibri" w:hAnsi="Calibri" w:cs="Calibri"/>
              </w:rPr>
              <w:t>Tue, Aug 25, 2026</w:t>
            </w:r>
          </w:p>
        </w:tc>
        <w:tc>
          <w:tcPr>
            <w:tcW w:w="6160" w:type="dxa"/>
          </w:tcPr>
          <w:p w14:paraId="6477F06A" w14:textId="77777777" w:rsidR="003A14A7" w:rsidRDefault="00000000">
            <w:r>
              <w:rPr>
                <w:rFonts w:ascii="Calibri" w:eastAsia="Calibri" w:hAnsi="Calibri" w:cs="Calibri"/>
              </w:rPr>
              <w:t>Kickoff; executive stakeholder interviews (Track 2 – business direction, value, KPIs); initial systems/documentation review</w:t>
            </w:r>
          </w:p>
        </w:tc>
      </w:tr>
      <w:tr w:rsidR="003A14A7" w14:paraId="0FBFBED6" w14:textId="77777777">
        <w:tblPrEx>
          <w:tblCellMar>
            <w:top w:w="0" w:type="dxa"/>
            <w:bottom w:w="0" w:type="dxa"/>
          </w:tblCellMar>
        </w:tblPrEx>
        <w:trPr>
          <w:cantSplit/>
        </w:trPr>
        <w:tc>
          <w:tcPr>
            <w:tcW w:w="1400" w:type="dxa"/>
          </w:tcPr>
          <w:p w14:paraId="3BFDE842" w14:textId="77777777" w:rsidR="003A14A7" w:rsidRDefault="00000000">
            <w:r>
              <w:rPr>
                <w:rFonts w:ascii="Calibri" w:eastAsia="Calibri" w:hAnsi="Calibri" w:cs="Calibri"/>
              </w:rPr>
              <w:t>Day 2</w:t>
            </w:r>
          </w:p>
        </w:tc>
        <w:tc>
          <w:tcPr>
            <w:tcW w:w="1800" w:type="dxa"/>
          </w:tcPr>
          <w:p w14:paraId="16C3ED3E" w14:textId="77777777" w:rsidR="003A14A7" w:rsidRDefault="00000000">
            <w:r>
              <w:rPr>
                <w:rFonts w:ascii="Calibri" w:eastAsia="Calibri" w:hAnsi="Calibri" w:cs="Calibri"/>
              </w:rPr>
              <w:t>Wed, Aug 26, 2026</w:t>
            </w:r>
          </w:p>
        </w:tc>
        <w:tc>
          <w:tcPr>
            <w:tcW w:w="6160" w:type="dxa"/>
          </w:tcPr>
          <w:p w14:paraId="75711F03" w14:textId="77777777" w:rsidR="003A14A7" w:rsidRDefault="00000000">
            <w:r>
              <w:rPr>
                <w:rFonts w:ascii="Calibri" w:eastAsia="Calibri" w:hAnsi="Calibri" w:cs="Calibri"/>
              </w:rPr>
              <w:t>Technical stakeholder sessions (Track 1 – platform review, interoperability, process/staffing assessment); use case inventory working sessions</w:t>
            </w:r>
          </w:p>
        </w:tc>
      </w:tr>
      <w:tr w:rsidR="003A14A7" w14:paraId="0BFC8733" w14:textId="77777777">
        <w:tblPrEx>
          <w:tblCellMar>
            <w:top w:w="0" w:type="dxa"/>
            <w:bottom w:w="0" w:type="dxa"/>
          </w:tblCellMar>
        </w:tblPrEx>
        <w:trPr>
          <w:cantSplit/>
        </w:trPr>
        <w:tc>
          <w:tcPr>
            <w:tcW w:w="1400" w:type="dxa"/>
          </w:tcPr>
          <w:p w14:paraId="4A08DE40" w14:textId="77777777" w:rsidR="003A14A7" w:rsidRDefault="00000000">
            <w:r>
              <w:rPr>
                <w:rFonts w:ascii="Calibri" w:eastAsia="Calibri" w:hAnsi="Calibri" w:cs="Calibri"/>
              </w:rPr>
              <w:t>Day 3</w:t>
            </w:r>
          </w:p>
        </w:tc>
        <w:tc>
          <w:tcPr>
            <w:tcW w:w="1800" w:type="dxa"/>
          </w:tcPr>
          <w:p w14:paraId="5143142B" w14:textId="77777777" w:rsidR="003A14A7" w:rsidRDefault="00000000">
            <w:r>
              <w:rPr>
                <w:rFonts w:ascii="Calibri" w:eastAsia="Calibri" w:hAnsi="Calibri" w:cs="Calibri"/>
              </w:rPr>
              <w:t>Thu, Aug 27, 2026</w:t>
            </w:r>
          </w:p>
        </w:tc>
        <w:tc>
          <w:tcPr>
            <w:tcW w:w="6160" w:type="dxa"/>
          </w:tcPr>
          <w:p w14:paraId="15698413" w14:textId="77777777" w:rsidR="003A14A7" w:rsidRDefault="00000000">
            <w:r>
              <w:rPr>
                <w:rFonts w:ascii="Calibri" w:eastAsia="Calibri" w:hAnsi="Calibri" w:cs="Calibri"/>
              </w:rPr>
              <w:t>Feasibility and roadmap sessions (Track 3); use case prioritization workshop; synthesis of findings across all three tracks</w:t>
            </w:r>
          </w:p>
        </w:tc>
      </w:tr>
      <w:tr w:rsidR="003A14A7" w14:paraId="30ECB378" w14:textId="77777777">
        <w:tblPrEx>
          <w:tblCellMar>
            <w:top w:w="0" w:type="dxa"/>
            <w:bottom w:w="0" w:type="dxa"/>
          </w:tblCellMar>
        </w:tblPrEx>
        <w:trPr>
          <w:cantSplit/>
        </w:trPr>
        <w:tc>
          <w:tcPr>
            <w:tcW w:w="1400" w:type="dxa"/>
          </w:tcPr>
          <w:p w14:paraId="71DB6F24" w14:textId="77777777" w:rsidR="003A14A7" w:rsidRDefault="00000000">
            <w:r>
              <w:rPr>
                <w:rFonts w:ascii="Calibri" w:eastAsia="Calibri" w:hAnsi="Calibri" w:cs="Calibri"/>
              </w:rPr>
              <w:t>Wrap-up</w:t>
            </w:r>
          </w:p>
        </w:tc>
        <w:tc>
          <w:tcPr>
            <w:tcW w:w="1800" w:type="dxa"/>
          </w:tcPr>
          <w:p w14:paraId="0A439A17" w14:textId="77777777" w:rsidR="003A14A7" w:rsidRDefault="00000000">
            <w:r>
              <w:rPr>
                <w:rFonts w:ascii="Calibri" w:eastAsia="Calibri" w:hAnsi="Calibri" w:cs="Calibri"/>
              </w:rPr>
              <w:t>Fri, Aug 28, 2026 (virtual)</w:t>
            </w:r>
          </w:p>
        </w:tc>
        <w:tc>
          <w:tcPr>
            <w:tcW w:w="6160" w:type="dxa"/>
          </w:tcPr>
          <w:p w14:paraId="5E7B07F2" w14:textId="77777777" w:rsidR="003A14A7" w:rsidRDefault="00000000">
            <w:r>
              <w:rPr>
                <w:rFonts w:ascii="Calibri" w:eastAsia="Calibri" w:hAnsi="Calibri" w:cs="Calibri"/>
              </w:rPr>
              <w:t xml:space="preserve">Findings </w:t>
            </w:r>
            <w:proofErr w:type="gramStart"/>
            <w:r>
              <w:rPr>
                <w:rFonts w:ascii="Calibri" w:eastAsia="Calibri" w:hAnsi="Calibri" w:cs="Calibri"/>
              </w:rPr>
              <w:t>playback;</w:t>
            </w:r>
            <w:proofErr w:type="gramEnd"/>
            <w:r>
              <w:rPr>
                <w:rFonts w:ascii="Calibri" w:eastAsia="Calibri" w:hAnsi="Calibri" w:cs="Calibri"/>
              </w:rPr>
              <w:t xml:space="preserve"> preliminary roadmap and use case prioritization review with stakeholders</w:t>
            </w:r>
          </w:p>
        </w:tc>
      </w:tr>
    </w:tbl>
    <w:p w14:paraId="03ADD34C" w14:textId="77777777" w:rsidR="003A14A7" w:rsidRDefault="00000000">
      <w:pPr>
        <w:spacing w:after="120"/>
      </w:pPr>
      <w:r>
        <w:rPr>
          <w:rFonts w:ascii="Calibri" w:eastAsia="Calibri" w:hAnsi="Calibri" w:cs="Calibri"/>
          <w:i/>
          <w:iCs/>
          <w:sz w:val="22"/>
          <w:szCs w:val="22"/>
        </w:rPr>
        <w:t>Final agenda and session assignments to be confirmed based on stakeholder availability.</w:t>
      </w:r>
    </w:p>
    <w:p w14:paraId="3E8FAFC6" w14:textId="77777777" w:rsidR="003A14A7" w:rsidRDefault="00000000">
      <w:pPr>
        <w:spacing w:before="160" w:after="80"/>
      </w:pPr>
      <w:r>
        <w:rPr>
          <w:rFonts w:ascii="Calibri" w:eastAsia="Calibri" w:hAnsi="Calibri" w:cs="Calibri"/>
          <w:b/>
          <w:bCs/>
          <w:sz w:val="22"/>
          <w:szCs w:val="22"/>
          <w:u w:val="single"/>
        </w:rPr>
        <w:t>Deliverables</w:t>
      </w:r>
    </w:p>
    <w:p w14:paraId="29571C5E" w14:textId="77777777" w:rsidR="003A14A7" w:rsidRDefault="00000000">
      <w:pPr>
        <w:pStyle w:val="ListParagraph"/>
        <w:numPr>
          <w:ilvl w:val="0"/>
          <w:numId w:val="2"/>
        </w:numPr>
        <w:spacing w:after="60"/>
      </w:pPr>
      <w:r>
        <w:rPr>
          <w:rFonts w:ascii="Calibri" w:eastAsia="Calibri" w:hAnsi="Calibri" w:cs="Calibri"/>
          <w:sz w:val="22"/>
          <w:szCs w:val="22"/>
        </w:rPr>
        <w:t>Executive briefing and high-level GenAI roadmap sketch</w:t>
      </w:r>
    </w:p>
    <w:p w14:paraId="0DE80909" w14:textId="77777777" w:rsidR="003A14A7" w:rsidRDefault="00000000">
      <w:pPr>
        <w:pStyle w:val="ListParagraph"/>
        <w:numPr>
          <w:ilvl w:val="0"/>
          <w:numId w:val="2"/>
        </w:numPr>
        <w:spacing w:after="60"/>
      </w:pPr>
      <w:r>
        <w:rPr>
          <w:rFonts w:ascii="Calibri" w:eastAsia="Calibri" w:hAnsi="Calibri" w:cs="Calibri"/>
          <w:sz w:val="22"/>
          <w:szCs w:val="22"/>
        </w:rPr>
        <w:t>Complete use case inventory, categorized by type (Gen AI + Agentic AI, Automation/RPA, Human Process) and theme (e.g., Ticketing &amp; Incident Management, Knowledge Management, Finance &amp; ERP Optimization, Cybersecurity &amp; Compliance, Project &amp; Portfolio Management, Reporting &amp; Analytics)</w:t>
      </w:r>
    </w:p>
    <w:p w14:paraId="19AF4B4E" w14:textId="77777777" w:rsidR="003A14A7" w:rsidRDefault="00000000">
      <w:pPr>
        <w:pStyle w:val="ListParagraph"/>
        <w:numPr>
          <w:ilvl w:val="0"/>
          <w:numId w:val="2"/>
        </w:numPr>
        <w:spacing w:after="60"/>
      </w:pPr>
      <w:r>
        <w:rPr>
          <w:rFonts w:ascii="Calibri" w:eastAsia="Calibri" w:hAnsi="Calibri" w:cs="Calibri"/>
          <w:sz w:val="22"/>
          <w:szCs w:val="22"/>
        </w:rPr>
        <w:t>Use case prioritization matrix, scored by ROI potential, complexity, and implementation effort, with an initial Ready / Not Ready / Defer designation</w:t>
      </w:r>
    </w:p>
    <w:p w14:paraId="74E8A92D" w14:textId="77777777" w:rsidR="003A14A7" w:rsidRDefault="00000000">
      <w:pPr>
        <w:pStyle w:val="ListParagraph"/>
        <w:numPr>
          <w:ilvl w:val="0"/>
          <w:numId w:val="2"/>
        </w:numPr>
        <w:spacing w:after="60"/>
      </w:pPr>
      <w:r>
        <w:rPr>
          <w:rFonts w:ascii="Calibri" w:eastAsia="Calibri" w:hAnsi="Calibri" w:cs="Calibri"/>
          <w:sz w:val="22"/>
          <w:szCs w:val="22"/>
        </w:rPr>
        <w:t>Recommended quick-win use case(s), with rationale (impact, complexity, risk)</w:t>
      </w:r>
    </w:p>
    <w:p w14:paraId="1CAF2C3E" w14:textId="77777777" w:rsidR="003A14A7" w:rsidRDefault="00000000">
      <w:pPr>
        <w:pStyle w:val="ListParagraph"/>
        <w:numPr>
          <w:ilvl w:val="0"/>
          <w:numId w:val="2"/>
        </w:numPr>
        <w:spacing w:after="60"/>
      </w:pPr>
      <w:r>
        <w:rPr>
          <w:rFonts w:ascii="Calibri" w:eastAsia="Calibri" w:hAnsi="Calibri" w:cs="Calibri"/>
          <w:sz w:val="22"/>
          <w:szCs w:val="22"/>
        </w:rPr>
        <w:t>Summary of platform and technology overlaps/integration gaps across current point solutions</w:t>
      </w:r>
    </w:p>
    <w:p w14:paraId="07411AF9" w14:textId="77777777" w:rsidR="003A14A7" w:rsidRDefault="00000000">
      <w:pPr>
        <w:pStyle w:val="ListParagraph"/>
        <w:numPr>
          <w:ilvl w:val="0"/>
          <w:numId w:val="2"/>
        </w:numPr>
        <w:spacing w:after="60"/>
      </w:pPr>
      <w:r>
        <w:rPr>
          <w:rFonts w:ascii="Calibri" w:eastAsia="Calibri" w:hAnsi="Calibri" w:cs="Calibri"/>
          <w:sz w:val="22"/>
          <w:szCs w:val="22"/>
        </w:rPr>
        <w:t>One (1) recommended proof-point AI use case, selected by SmarTek21, to carry forward into a potential Phase 2/3</w:t>
      </w:r>
    </w:p>
    <w:p w14:paraId="67B46AC4" w14:textId="77777777" w:rsidR="003A14A7" w:rsidRDefault="00000000">
      <w:pPr>
        <w:spacing w:before="280" w:after="140"/>
      </w:pPr>
      <w:r>
        <w:rPr>
          <w:rFonts w:ascii="Calibri" w:eastAsia="Calibri" w:hAnsi="Calibri" w:cs="Calibri"/>
          <w:b/>
          <w:bCs/>
          <w:sz w:val="24"/>
          <w:szCs w:val="24"/>
        </w:rPr>
        <w:t>Pre-Engagement Requirements</w:t>
      </w:r>
    </w:p>
    <w:p w14:paraId="0F70D6C5" w14:textId="77777777" w:rsidR="003A14A7" w:rsidRDefault="00000000">
      <w:pPr>
        <w:spacing w:after="120"/>
      </w:pPr>
      <w:r>
        <w:rPr>
          <w:rFonts w:ascii="Calibri" w:eastAsia="Calibri" w:hAnsi="Calibri" w:cs="Calibri"/>
          <w:sz w:val="22"/>
          <w:szCs w:val="22"/>
        </w:rPr>
        <w:t>To ensure the onsite assessment is productive and stakeholder time is used efficiently, SmarTek21 requests the following from Peppermill in advance of the onsite visit:</w:t>
      </w:r>
    </w:p>
    <w:p w14:paraId="76EBF6D0" w14:textId="77777777" w:rsidR="003A14A7" w:rsidRDefault="00000000">
      <w:pPr>
        <w:pStyle w:val="ListParagraph"/>
        <w:numPr>
          <w:ilvl w:val="0"/>
          <w:numId w:val="2"/>
        </w:numPr>
        <w:spacing w:after="60"/>
      </w:pPr>
      <w:r>
        <w:rPr>
          <w:rFonts w:ascii="Calibri" w:eastAsia="Calibri" w:hAnsi="Calibri" w:cs="Calibri"/>
          <w:sz w:val="22"/>
          <w:szCs w:val="22"/>
        </w:rPr>
        <w:t>A high-level overview of Peppermill’s current environment and business objectives</w:t>
      </w:r>
    </w:p>
    <w:p w14:paraId="5568930E" w14:textId="77777777" w:rsidR="003A14A7" w:rsidRDefault="00000000">
      <w:pPr>
        <w:pStyle w:val="ListParagraph"/>
        <w:numPr>
          <w:ilvl w:val="0"/>
          <w:numId w:val="2"/>
        </w:numPr>
        <w:spacing w:after="60"/>
      </w:pPr>
      <w:r>
        <w:rPr>
          <w:rFonts w:ascii="Calibri" w:eastAsia="Calibri" w:hAnsi="Calibri" w:cs="Calibri"/>
          <w:sz w:val="22"/>
          <w:szCs w:val="22"/>
        </w:rPr>
        <w:t>Existing architecture diagrams and any relevant supporting documentation</w:t>
      </w:r>
    </w:p>
    <w:p w14:paraId="27DE65EA" w14:textId="77777777" w:rsidR="003A14A7" w:rsidRDefault="00000000">
      <w:pPr>
        <w:pStyle w:val="ListParagraph"/>
        <w:numPr>
          <w:ilvl w:val="0"/>
          <w:numId w:val="2"/>
        </w:numPr>
        <w:spacing w:after="60"/>
      </w:pPr>
      <w:r>
        <w:rPr>
          <w:rFonts w:ascii="Calibri" w:eastAsia="Calibri" w:hAnsi="Calibri" w:cs="Calibri"/>
          <w:sz w:val="22"/>
          <w:szCs w:val="22"/>
        </w:rPr>
        <w:t>An inventory of key systems and technologies in scope for the assessment</w:t>
      </w:r>
    </w:p>
    <w:p w14:paraId="19F89614" w14:textId="77777777" w:rsidR="003A14A7" w:rsidRDefault="00000000">
      <w:pPr>
        <w:pStyle w:val="ListParagraph"/>
        <w:numPr>
          <w:ilvl w:val="0"/>
          <w:numId w:val="2"/>
        </w:numPr>
        <w:spacing w:after="60"/>
      </w:pPr>
      <w:r>
        <w:rPr>
          <w:rFonts w:ascii="Calibri" w:eastAsia="Calibri" w:hAnsi="Calibri" w:cs="Calibri"/>
          <w:sz w:val="22"/>
          <w:szCs w:val="22"/>
        </w:rPr>
        <w:t>A list of participating stakeholders and SMEs, along with a draft schedule for the three onsite days</w:t>
      </w:r>
    </w:p>
    <w:p w14:paraId="70A24F76" w14:textId="77777777" w:rsidR="003A14A7" w:rsidRDefault="00000000">
      <w:pPr>
        <w:pStyle w:val="ListParagraph"/>
        <w:numPr>
          <w:ilvl w:val="0"/>
          <w:numId w:val="2"/>
        </w:numPr>
        <w:spacing w:after="60"/>
      </w:pPr>
      <w:r>
        <w:rPr>
          <w:rFonts w:ascii="Calibri" w:eastAsia="Calibri" w:hAnsi="Calibri" w:cs="Calibri"/>
          <w:sz w:val="22"/>
          <w:szCs w:val="22"/>
        </w:rPr>
        <w:lastRenderedPageBreak/>
        <w:t>Any site access or logistical requirements (badging, network access, conference room availability, etc.)</w:t>
      </w:r>
    </w:p>
    <w:p w14:paraId="1DCF45AD" w14:textId="77777777" w:rsidR="003A14A7" w:rsidRDefault="00000000">
      <w:pPr>
        <w:spacing w:before="280" w:after="140"/>
      </w:pPr>
      <w:r>
        <w:rPr>
          <w:rFonts w:ascii="Calibri" w:eastAsia="Calibri" w:hAnsi="Calibri" w:cs="Calibri"/>
          <w:b/>
          <w:bCs/>
          <w:sz w:val="24"/>
          <w:szCs w:val="24"/>
        </w:rPr>
        <w:t>SUPPLIER'S RESPONSIBILITIES</w:t>
      </w:r>
    </w:p>
    <w:p w14:paraId="33B0AF3A" w14:textId="77777777" w:rsidR="003A14A7" w:rsidRDefault="00000000">
      <w:pPr>
        <w:spacing w:after="120"/>
      </w:pPr>
      <w:r>
        <w:rPr>
          <w:rFonts w:ascii="Calibri" w:eastAsia="Calibri" w:hAnsi="Calibri" w:cs="Calibri"/>
          <w:sz w:val="22"/>
          <w:szCs w:val="22"/>
        </w:rPr>
        <w:t>The Supplier will provide:</w:t>
      </w:r>
    </w:p>
    <w:p w14:paraId="1C3F1273" w14:textId="77777777" w:rsidR="003A14A7" w:rsidRDefault="00000000">
      <w:pPr>
        <w:pStyle w:val="ListParagraph"/>
        <w:numPr>
          <w:ilvl w:val="0"/>
          <w:numId w:val="2"/>
        </w:numPr>
        <w:spacing w:after="60"/>
      </w:pPr>
      <w:r>
        <w:rPr>
          <w:rFonts w:ascii="Calibri" w:eastAsia="Calibri" w:hAnsi="Calibri" w:cs="Calibri"/>
          <w:sz w:val="22"/>
          <w:szCs w:val="22"/>
        </w:rPr>
        <w:t>Single point of contact from Supplier to act as Project Manager (“SPM”) to work with Customer’s Project Manager (“CPM”), or another designated representative</w:t>
      </w:r>
    </w:p>
    <w:p w14:paraId="3AB3791B" w14:textId="77777777" w:rsidR="003A14A7" w:rsidRDefault="00000000">
      <w:pPr>
        <w:pStyle w:val="ListParagraph"/>
        <w:numPr>
          <w:ilvl w:val="0"/>
          <w:numId w:val="2"/>
        </w:numPr>
        <w:spacing w:after="60"/>
      </w:pPr>
      <w:r>
        <w:rPr>
          <w:rFonts w:ascii="Calibri" w:eastAsia="Calibri" w:hAnsi="Calibri" w:cs="Calibri"/>
          <w:sz w:val="22"/>
          <w:szCs w:val="22"/>
        </w:rPr>
        <w:t>Facilitation of all stakeholder interviews and working sessions across the three-day onsite assessment</w:t>
      </w:r>
    </w:p>
    <w:p w14:paraId="1239C48C" w14:textId="77777777" w:rsidR="003A14A7" w:rsidRDefault="00000000">
      <w:pPr>
        <w:pStyle w:val="ListParagraph"/>
        <w:numPr>
          <w:ilvl w:val="0"/>
          <w:numId w:val="2"/>
        </w:numPr>
        <w:spacing w:after="60"/>
      </w:pPr>
      <w:r>
        <w:rPr>
          <w:rFonts w:ascii="Calibri" w:eastAsia="Calibri" w:hAnsi="Calibri" w:cs="Calibri"/>
          <w:sz w:val="22"/>
          <w:szCs w:val="22"/>
        </w:rPr>
        <w:t>Synthesis of findings into a use case inventory, prioritization matrix, and executive roadmap</w:t>
      </w:r>
    </w:p>
    <w:p w14:paraId="4D35EA21" w14:textId="77777777" w:rsidR="003A14A7" w:rsidRDefault="00000000">
      <w:pPr>
        <w:pStyle w:val="ListParagraph"/>
        <w:numPr>
          <w:ilvl w:val="0"/>
          <w:numId w:val="2"/>
        </w:numPr>
        <w:spacing w:after="60"/>
      </w:pPr>
      <w:r>
        <w:rPr>
          <w:rFonts w:ascii="Calibri" w:eastAsia="Calibri" w:hAnsi="Calibri" w:cs="Calibri"/>
          <w:sz w:val="22"/>
          <w:szCs w:val="22"/>
        </w:rPr>
        <w:t>Delivery of the executive briefing and roadmap readout during the virtual wrap-up session</w:t>
      </w:r>
    </w:p>
    <w:p w14:paraId="2863C177" w14:textId="77777777" w:rsidR="003A14A7" w:rsidRDefault="00000000">
      <w:pPr>
        <w:pStyle w:val="ListParagraph"/>
        <w:numPr>
          <w:ilvl w:val="0"/>
          <w:numId w:val="2"/>
        </w:numPr>
        <w:spacing w:after="60"/>
      </w:pPr>
      <w:r>
        <w:rPr>
          <w:rFonts w:ascii="Calibri" w:eastAsia="Calibri" w:hAnsi="Calibri" w:cs="Calibri"/>
          <w:sz w:val="22"/>
          <w:szCs w:val="22"/>
        </w:rPr>
        <w:t>All other services as specified within this SOW</w:t>
      </w:r>
    </w:p>
    <w:p w14:paraId="1601C507" w14:textId="77777777" w:rsidR="003A14A7" w:rsidRDefault="00000000">
      <w:pPr>
        <w:spacing w:before="280" w:after="140"/>
      </w:pPr>
      <w:r>
        <w:rPr>
          <w:rFonts w:ascii="Calibri" w:eastAsia="Calibri" w:hAnsi="Calibri" w:cs="Calibri"/>
          <w:b/>
          <w:bCs/>
          <w:sz w:val="24"/>
          <w:szCs w:val="24"/>
        </w:rPr>
        <w:t>CUSTOMER'S RESPONSIBILITIES</w:t>
      </w:r>
    </w:p>
    <w:p w14:paraId="5CF06C5E" w14:textId="77777777" w:rsidR="003A14A7" w:rsidRDefault="00000000">
      <w:pPr>
        <w:spacing w:after="120"/>
      </w:pPr>
      <w:r>
        <w:rPr>
          <w:rFonts w:ascii="Calibri" w:eastAsia="Calibri" w:hAnsi="Calibri" w:cs="Calibri"/>
          <w:sz w:val="22"/>
          <w:szCs w:val="22"/>
        </w:rPr>
        <w:t>Customer to provide:</w:t>
      </w:r>
    </w:p>
    <w:p w14:paraId="0E7A2F4A" w14:textId="77777777" w:rsidR="003A14A7" w:rsidRDefault="00000000">
      <w:pPr>
        <w:pStyle w:val="ListParagraph"/>
        <w:numPr>
          <w:ilvl w:val="0"/>
          <w:numId w:val="2"/>
        </w:numPr>
        <w:spacing w:after="60"/>
      </w:pPr>
      <w:r>
        <w:rPr>
          <w:rFonts w:ascii="Calibri" w:eastAsia="Calibri" w:hAnsi="Calibri" w:cs="Calibri"/>
          <w:sz w:val="22"/>
          <w:szCs w:val="22"/>
        </w:rPr>
        <w:t>Single point of contact from Customer to act as CPM with the SPM, or other designated representative</w:t>
      </w:r>
    </w:p>
    <w:p w14:paraId="0074D4E5" w14:textId="77777777" w:rsidR="003A14A7" w:rsidRDefault="00000000">
      <w:pPr>
        <w:pStyle w:val="ListParagraph"/>
        <w:numPr>
          <w:ilvl w:val="0"/>
          <w:numId w:val="2"/>
        </w:numPr>
        <w:spacing w:after="60"/>
      </w:pPr>
      <w:r>
        <w:rPr>
          <w:rFonts w:ascii="Calibri" w:eastAsia="Calibri" w:hAnsi="Calibri" w:cs="Calibri"/>
          <w:sz w:val="22"/>
          <w:szCs w:val="22"/>
        </w:rPr>
        <w:t>Appropriate business and technical stakeholders/SMEs available across Gaming, Backoffice, and ERP functions for the onsite assessment (Aug 25–27) and virtual wrap-up (Aug 28)</w:t>
      </w:r>
    </w:p>
    <w:p w14:paraId="1D1812B6" w14:textId="77777777" w:rsidR="003A14A7" w:rsidRDefault="00000000">
      <w:pPr>
        <w:pStyle w:val="ListParagraph"/>
        <w:numPr>
          <w:ilvl w:val="0"/>
          <w:numId w:val="2"/>
        </w:numPr>
        <w:spacing w:after="60"/>
      </w:pPr>
      <w:r>
        <w:rPr>
          <w:rFonts w:ascii="Calibri" w:eastAsia="Calibri" w:hAnsi="Calibri" w:cs="Calibri"/>
          <w:sz w:val="22"/>
          <w:szCs w:val="22"/>
        </w:rPr>
        <w:t>High-level overview of current environment and business objectives, architecture diagrams, systems inventory, stakeholder list/schedule, and site access requirements — ahead of the onsite (see Pre-Engagement Requirements)</w:t>
      </w:r>
    </w:p>
    <w:p w14:paraId="3F928877" w14:textId="77777777" w:rsidR="003A14A7" w:rsidRDefault="00000000">
      <w:pPr>
        <w:pStyle w:val="ListParagraph"/>
        <w:numPr>
          <w:ilvl w:val="0"/>
          <w:numId w:val="2"/>
        </w:numPr>
        <w:spacing w:after="60"/>
      </w:pPr>
      <w:r>
        <w:rPr>
          <w:rFonts w:ascii="Calibri" w:eastAsia="Calibri" w:hAnsi="Calibri" w:cs="Calibri"/>
          <w:sz w:val="22"/>
          <w:szCs w:val="22"/>
        </w:rPr>
        <w:t>Timely access to documentation and systems necessary to support discovery during the engagement</w:t>
      </w:r>
    </w:p>
    <w:p w14:paraId="738A12FC" w14:textId="77777777" w:rsidR="003A14A7" w:rsidRDefault="00000000">
      <w:pPr>
        <w:pStyle w:val="ListParagraph"/>
        <w:numPr>
          <w:ilvl w:val="0"/>
          <w:numId w:val="2"/>
        </w:numPr>
        <w:spacing w:after="60"/>
      </w:pPr>
      <w:r>
        <w:rPr>
          <w:rFonts w:ascii="Calibri" w:eastAsia="Calibri" w:hAnsi="Calibri" w:cs="Calibri"/>
          <w:sz w:val="22"/>
          <w:szCs w:val="22"/>
        </w:rPr>
        <w:t>All essential access and documentation as required and requested by the Supplier</w:t>
      </w:r>
    </w:p>
    <w:p w14:paraId="1307364D" w14:textId="77777777" w:rsidR="003A14A7" w:rsidRDefault="00000000">
      <w:pPr>
        <w:spacing w:before="280" w:after="140"/>
      </w:pPr>
      <w:r>
        <w:rPr>
          <w:rFonts w:ascii="Calibri" w:eastAsia="Calibri" w:hAnsi="Calibri" w:cs="Calibri"/>
          <w:b/>
          <w:bCs/>
          <w:sz w:val="24"/>
          <w:szCs w:val="24"/>
        </w:rPr>
        <w:t>DURATION OF SOW / TERMINATION</w:t>
      </w:r>
    </w:p>
    <w:p w14:paraId="16BAD90E" w14:textId="77777777" w:rsidR="003A14A7" w:rsidRDefault="00000000">
      <w:pPr>
        <w:spacing w:after="120"/>
      </w:pPr>
      <w:r>
        <w:rPr>
          <w:rFonts w:ascii="Calibri" w:eastAsia="Calibri" w:hAnsi="Calibri" w:cs="Calibri"/>
          <w:sz w:val="22"/>
          <w:szCs w:val="22"/>
        </w:rPr>
        <w:t>This SOW will commence on the SOW Effective Date and shall continue in existence up to [End Date]. This SOW can be extended further by written agreement of both parties in an amendment to this SOW.</w:t>
      </w:r>
    </w:p>
    <w:p w14:paraId="1925A097" w14:textId="77777777" w:rsidR="003A14A7" w:rsidRDefault="00000000">
      <w:pPr>
        <w:spacing w:before="160" w:after="80"/>
      </w:pPr>
      <w:r>
        <w:rPr>
          <w:rFonts w:ascii="Calibri" w:eastAsia="Calibri" w:hAnsi="Calibri" w:cs="Calibri"/>
          <w:b/>
          <w:bCs/>
          <w:sz w:val="22"/>
          <w:szCs w:val="22"/>
          <w:u w:val="single"/>
        </w:rPr>
        <w:t>7.1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14A7" w14:paraId="6FE33576" w14:textId="77777777">
        <w:tblPrEx>
          <w:tblCellMar>
            <w:top w:w="0" w:type="dxa"/>
            <w:bottom w:w="0" w:type="dxa"/>
          </w:tblCellMar>
        </w:tblPrEx>
        <w:trPr>
          <w:cantSplit/>
        </w:trPr>
        <w:tc>
          <w:tcPr>
            <w:tcW w:w="3120" w:type="dxa"/>
            <w:shd w:val="clear" w:color="auto" w:fill="D9D9D9"/>
          </w:tcPr>
          <w:p w14:paraId="538E84AA" w14:textId="77777777" w:rsidR="003A14A7" w:rsidRDefault="00000000">
            <w:r>
              <w:rPr>
                <w:rFonts w:ascii="Calibri" w:eastAsia="Calibri" w:hAnsi="Calibri" w:cs="Calibri"/>
                <w:b/>
                <w:bCs/>
              </w:rPr>
              <w:t>Phase</w:t>
            </w:r>
          </w:p>
        </w:tc>
        <w:tc>
          <w:tcPr>
            <w:tcW w:w="3120" w:type="dxa"/>
            <w:shd w:val="clear" w:color="auto" w:fill="D9D9D9"/>
          </w:tcPr>
          <w:p w14:paraId="1D84565C" w14:textId="77777777" w:rsidR="003A14A7" w:rsidRDefault="00000000">
            <w:r>
              <w:rPr>
                <w:rFonts w:ascii="Calibri" w:eastAsia="Calibri" w:hAnsi="Calibri" w:cs="Calibri"/>
                <w:b/>
                <w:bCs/>
              </w:rPr>
              <w:t>Key Activities</w:t>
            </w:r>
          </w:p>
        </w:tc>
        <w:tc>
          <w:tcPr>
            <w:tcW w:w="3120" w:type="dxa"/>
            <w:shd w:val="clear" w:color="auto" w:fill="D9D9D9"/>
          </w:tcPr>
          <w:p w14:paraId="78F1D0C6" w14:textId="77777777" w:rsidR="003A14A7" w:rsidRDefault="00000000">
            <w:r>
              <w:rPr>
                <w:rFonts w:ascii="Calibri" w:eastAsia="Calibri" w:hAnsi="Calibri" w:cs="Calibri"/>
                <w:b/>
                <w:bCs/>
              </w:rPr>
              <w:t>Timing</w:t>
            </w:r>
          </w:p>
        </w:tc>
      </w:tr>
      <w:tr w:rsidR="003A14A7" w14:paraId="52411EC8" w14:textId="77777777">
        <w:tblPrEx>
          <w:tblCellMar>
            <w:top w:w="0" w:type="dxa"/>
            <w:bottom w:w="0" w:type="dxa"/>
          </w:tblCellMar>
        </w:tblPrEx>
        <w:trPr>
          <w:cantSplit/>
        </w:trPr>
        <w:tc>
          <w:tcPr>
            <w:tcW w:w="3120" w:type="dxa"/>
          </w:tcPr>
          <w:p w14:paraId="7A86E1AE" w14:textId="77777777" w:rsidR="003A14A7" w:rsidRDefault="00000000">
            <w:r>
              <w:rPr>
                <w:rFonts w:ascii="Calibri" w:eastAsia="Calibri" w:hAnsi="Calibri" w:cs="Calibri"/>
              </w:rPr>
              <w:t>Onsite Discovery Assessment</w:t>
            </w:r>
          </w:p>
        </w:tc>
        <w:tc>
          <w:tcPr>
            <w:tcW w:w="3120" w:type="dxa"/>
          </w:tcPr>
          <w:p w14:paraId="238CCD1E" w14:textId="77777777" w:rsidR="003A14A7" w:rsidRDefault="00000000">
            <w:r>
              <w:rPr>
                <w:rFonts w:ascii="Calibri" w:eastAsia="Calibri" w:hAnsi="Calibri" w:cs="Calibri"/>
              </w:rPr>
              <w:t>Stakeholder interviews, technical review, use case inventory &amp; prioritization workshop (Tracks 1–3)</w:t>
            </w:r>
          </w:p>
        </w:tc>
        <w:tc>
          <w:tcPr>
            <w:tcW w:w="3120" w:type="dxa"/>
          </w:tcPr>
          <w:p w14:paraId="6BA5C9F1" w14:textId="77777777" w:rsidR="003A14A7" w:rsidRDefault="00000000">
            <w:r>
              <w:rPr>
                <w:rFonts w:ascii="Calibri" w:eastAsia="Calibri" w:hAnsi="Calibri" w:cs="Calibri"/>
              </w:rPr>
              <w:t>Aug 25–27, 2026</w:t>
            </w:r>
          </w:p>
        </w:tc>
      </w:tr>
      <w:tr w:rsidR="003A14A7" w14:paraId="74695F1C" w14:textId="77777777">
        <w:tblPrEx>
          <w:tblCellMar>
            <w:top w:w="0" w:type="dxa"/>
            <w:bottom w:w="0" w:type="dxa"/>
          </w:tblCellMar>
        </w:tblPrEx>
        <w:trPr>
          <w:cantSplit/>
        </w:trPr>
        <w:tc>
          <w:tcPr>
            <w:tcW w:w="3120" w:type="dxa"/>
          </w:tcPr>
          <w:p w14:paraId="2746BECB" w14:textId="77777777" w:rsidR="003A14A7" w:rsidRDefault="00000000">
            <w:r>
              <w:rPr>
                <w:rFonts w:ascii="Calibri" w:eastAsia="Calibri" w:hAnsi="Calibri" w:cs="Calibri"/>
              </w:rPr>
              <w:t>Virtual Wrap-Up</w:t>
            </w:r>
          </w:p>
        </w:tc>
        <w:tc>
          <w:tcPr>
            <w:tcW w:w="3120" w:type="dxa"/>
          </w:tcPr>
          <w:p w14:paraId="601226F2" w14:textId="77777777" w:rsidR="003A14A7" w:rsidRDefault="00000000">
            <w:r>
              <w:rPr>
                <w:rFonts w:ascii="Calibri" w:eastAsia="Calibri" w:hAnsi="Calibri" w:cs="Calibri"/>
              </w:rPr>
              <w:t>Findings playback; preliminary roadmap and prioritization review</w:t>
            </w:r>
          </w:p>
        </w:tc>
        <w:tc>
          <w:tcPr>
            <w:tcW w:w="3120" w:type="dxa"/>
          </w:tcPr>
          <w:p w14:paraId="336CEA68" w14:textId="77777777" w:rsidR="003A14A7" w:rsidRDefault="00000000">
            <w:r>
              <w:rPr>
                <w:rFonts w:ascii="Calibri" w:eastAsia="Calibri" w:hAnsi="Calibri" w:cs="Calibri"/>
              </w:rPr>
              <w:t>Aug 28, 2026</w:t>
            </w:r>
          </w:p>
        </w:tc>
      </w:tr>
      <w:tr w:rsidR="003A14A7" w14:paraId="0B97A842" w14:textId="77777777">
        <w:tblPrEx>
          <w:tblCellMar>
            <w:top w:w="0" w:type="dxa"/>
            <w:bottom w:w="0" w:type="dxa"/>
          </w:tblCellMar>
        </w:tblPrEx>
        <w:trPr>
          <w:cantSplit/>
        </w:trPr>
        <w:tc>
          <w:tcPr>
            <w:tcW w:w="3120" w:type="dxa"/>
          </w:tcPr>
          <w:p w14:paraId="0972B261" w14:textId="77777777" w:rsidR="003A14A7" w:rsidRDefault="00000000">
            <w:r>
              <w:rPr>
                <w:rFonts w:ascii="Calibri" w:eastAsia="Calibri" w:hAnsi="Calibri" w:cs="Calibri"/>
              </w:rPr>
              <w:t>Synthesis &amp; Roadmap Delivery</w:t>
            </w:r>
          </w:p>
        </w:tc>
        <w:tc>
          <w:tcPr>
            <w:tcW w:w="3120" w:type="dxa"/>
          </w:tcPr>
          <w:p w14:paraId="1031FACC" w14:textId="77777777" w:rsidR="003A14A7" w:rsidRDefault="00000000">
            <w:r>
              <w:rPr>
                <w:rFonts w:ascii="Calibri" w:eastAsia="Calibri" w:hAnsi="Calibri" w:cs="Calibri"/>
              </w:rPr>
              <w:t>Finalize executive briefing, roadmap, and use case prioritization matrix</w:t>
            </w:r>
          </w:p>
        </w:tc>
        <w:tc>
          <w:tcPr>
            <w:tcW w:w="3120" w:type="dxa"/>
          </w:tcPr>
          <w:p w14:paraId="686F297E" w14:textId="77777777" w:rsidR="003A14A7" w:rsidRDefault="00000000">
            <w:r>
              <w:rPr>
                <w:rFonts w:ascii="Calibri" w:eastAsia="Calibri" w:hAnsi="Calibri" w:cs="Calibri"/>
              </w:rPr>
              <w:t>Within [X] weeks of wrap-up</w:t>
            </w:r>
          </w:p>
        </w:tc>
      </w:tr>
    </w:tbl>
    <w:p w14:paraId="541EAB84" w14:textId="77777777" w:rsidR="003A14A7" w:rsidRDefault="003A14A7">
      <w:pPr>
        <w:spacing w:after="120"/>
      </w:pPr>
    </w:p>
    <w:p w14:paraId="37A6C1FE" w14:textId="77777777" w:rsidR="003A14A7" w:rsidRDefault="00000000">
      <w:pPr>
        <w:spacing w:before="280" w:after="140"/>
      </w:pPr>
      <w:r>
        <w:rPr>
          <w:rFonts w:ascii="Calibri" w:eastAsia="Calibri" w:hAnsi="Calibri" w:cs="Calibri"/>
          <w:b/>
          <w:bCs/>
          <w:sz w:val="24"/>
          <w:szCs w:val="24"/>
        </w:rPr>
        <w:t>Assumptions &amp; Dependencies</w:t>
      </w:r>
    </w:p>
    <w:p w14:paraId="136CFB5A" w14:textId="77777777" w:rsidR="003A14A7" w:rsidRDefault="00000000">
      <w:pPr>
        <w:pStyle w:val="ListParagraph"/>
        <w:numPr>
          <w:ilvl w:val="0"/>
          <w:numId w:val="2"/>
        </w:numPr>
        <w:spacing w:after="60"/>
      </w:pPr>
      <w:r>
        <w:rPr>
          <w:rFonts w:ascii="Calibri" w:eastAsia="Calibri" w:hAnsi="Calibri" w:cs="Calibri"/>
          <w:sz w:val="22"/>
          <w:szCs w:val="22"/>
        </w:rPr>
        <w:t>Confirmed onsite dates: August 25–27, 2026 (Tue/Wed/Thu), with virtual wrap-up on August 28, 2026</w:t>
      </w:r>
    </w:p>
    <w:p w14:paraId="56F36983" w14:textId="77777777" w:rsidR="003A14A7" w:rsidRDefault="00000000">
      <w:pPr>
        <w:pStyle w:val="ListParagraph"/>
        <w:numPr>
          <w:ilvl w:val="0"/>
          <w:numId w:val="2"/>
        </w:numPr>
        <w:spacing w:after="60"/>
      </w:pPr>
      <w:r>
        <w:rPr>
          <w:rFonts w:ascii="Calibri" w:eastAsia="Calibri" w:hAnsi="Calibri" w:cs="Calibri"/>
          <w:sz w:val="22"/>
          <w:szCs w:val="22"/>
        </w:rPr>
        <w:lastRenderedPageBreak/>
        <w:t>Delay in Customer feedback or stakeholder availability may impact the timeline</w:t>
      </w:r>
    </w:p>
    <w:p w14:paraId="53239ACF" w14:textId="77777777" w:rsidR="003A14A7" w:rsidRDefault="00000000">
      <w:pPr>
        <w:pStyle w:val="ListParagraph"/>
        <w:numPr>
          <w:ilvl w:val="0"/>
          <w:numId w:val="2"/>
        </w:numPr>
        <w:spacing w:after="60"/>
      </w:pPr>
      <w:r>
        <w:rPr>
          <w:rFonts w:ascii="Calibri" w:eastAsia="Calibri" w:hAnsi="Calibri" w:cs="Calibri"/>
          <w:sz w:val="22"/>
          <w:szCs w:val="22"/>
        </w:rPr>
        <w:t>Customer provides access to sample data, documentation, and knowledge base ahead of and during the onsite assessment</w:t>
      </w:r>
    </w:p>
    <w:p w14:paraId="17F6D756" w14:textId="77777777" w:rsidR="003A14A7" w:rsidRDefault="00000000">
      <w:pPr>
        <w:pStyle w:val="ListParagraph"/>
        <w:numPr>
          <w:ilvl w:val="0"/>
          <w:numId w:val="2"/>
        </w:numPr>
        <w:spacing w:after="60"/>
      </w:pPr>
      <w:r>
        <w:rPr>
          <w:rFonts w:ascii="Calibri" w:eastAsia="Calibri" w:hAnsi="Calibri" w:cs="Calibri"/>
          <w:sz w:val="22"/>
          <w:szCs w:val="22"/>
        </w:rPr>
        <w:t>No live production data is required for the Phase 1 discovery assessment</w:t>
      </w:r>
    </w:p>
    <w:p w14:paraId="73AFB370" w14:textId="77777777" w:rsidR="003A14A7" w:rsidRDefault="00000000">
      <w:pPr>
        <w:pStyle w:val="ListParagraph"/>
        <w:numPr>
          <w:ilvl w:val="0"/>
          <w:numId w:val="2"/>
        </w:numPr>
        <w:spacing w:after="60"/>
      </w:pPr>
      <w:r>
        <w:rPr>
          <w:rFonts w:ascii="Calibri" w:eastAsia="Calibri" w:hAnsi="Calibri" w:cs="Calibri"/>
          <w:sz w:val="22"/>
          <w:szCs w:val="22"/>
        </w:rPr>
        <w:t>Findings and roadmap reflect information made available during the discovery period only; deeper technical or data validation is out of scope for Phase 1 and, if pursued, will be addressed in a subsequent phase</w:t>
      </w:r>
    </w:p>
    <w:p w14:paraId="3683CE8B" w14:textId="77777777" w:rsidR="003A14A7" w:rsidRDefault="00000000">
      <w:pPr>
        <w:spacing w:before="280" w:after="140"/>
      </w:pPr>
      <w:r>
        <w:rPr>
          <w:rFonts w:ascii="Calibri" w:eastAsia="Calibri" w:hAnsi="Calibri" w:cs="Calibri"/>
          <w:b/>
          <w:bCs/>
          <w:sz w:val="24"/>
          <w:szCs w:val="24"/>
        </w:rPr>
        <w:t>EXECUTIVE ESCALATION</w:t>
      </w:r>
    </w:p>
    <w:p w14:paraId="799771E6" w14:textId="77777777" w:rsidR="003A14A7" w:rsidRDefault="00000000">
      <w:pPr>
        <w:spacing w:after="120"/>
      </w:pPr>
      <w:proofErr w:type="gramStart"/>
      <w:r>
        <w:rPr>
          <w:rFonts w:ascii="Calibri" w:eastAsia="Calibri" w:hAnsi="Calibri" w:cs="Calibri"/>
          <w:sz w:val="22"/>
          <w:szCs w:val="22"/>
        </w:rPr>
        <w:t>In the event that</w:t>
      </w:r>
      <w:proofErr w:type="gramEnd"/>
      <w:r>
        <w:rPr>
          <w:rFonts w:ascii="Calibri" w:eastAsia="Calibri" w:hAnsi="Calibri" w:cs="Calibri"/>
          <w:sz w:val="22"/>
          <w:szCs w:val="22"/>
        </w:rPr>
        <w:t xml:space="preserve"> any issue owned by Supplier is not resolved to Customer’s satisfaction, Customer may at any time contact the following Supplier executive team member for escalation and resolution:</w:t>
      </w:r>
    </w:p>
    <w:p w14:paraId="41F988BA" w14:textId="77777777" w:rsidR="003A14A7" w:rsidRDefault="00000000">
      <w:pPr>
        <w:spacing w:after="120"/>
      </w:pPr>
      <w:r>
        <w:rPr>
          <w:rFonts w:ascii="Calibri" w:eastAsia="Calibri" w:hAnsi="Calibri" w:cs="Calibri"/>
          <w:b/>
          <w:bCs/>
          <w:sz w:val="22"/>
          <w:szCs w:val="22"/>
        </w:rPr>
        <w:t>Shawnna DelHierro, CTDO, shawnnad@smartek21.com</w:t>
      </w:r>
    </w:p>
    <w:p w14:paraId="1CFF314C" w14:textId="77777777" w:rsidR="003A14A7" w:rsidRDefault="00000000">
      <w:pPr>
        <w:spacing w:before="280" w:after="140"/>
      </w:pPr>
      <w:r>
        <w:rPr>
          <w:rFonts w:ascii="Calibri" w:eastAsia="Calibri" w:hAnsi="Calibri" w:cs="Calibri"/>
          <w:b/>
          <w:bCs/>
          <w:sz w:val="24"/>
          <w:szCs w:val="24"/>
        </w:rPr>
        <w:t>FINANCIALS</w:t>
      </w:r>
    </w:p>
    <w:p w14:paraId="0512EF67" w14:textId="77777777" w:rsidR="003A14A7" w:rsidRDefault="00000000">
      <w:pPr>
        <w:spacing w:after="120"/>
      </w:pPr>
      <w:r>
        <w:rPr>
          <w:rFonts w:ascii="Calibri" w:eastAsia="Calibri" w:hAnsi="Calibri" w:cs="Calibri"/>
          <w:sz w:val="22"/>
          <w:szCs w:val="22"/>
        </w:rPr>
        <w:t>The Supplier may invoice for the Services referred to in this Statement of Work a fixed fee of $50,000.00 for this engagement (the “Fixed Fee”). The Fixed Fee excludes taxes, travel, and expenses.</w:t>
      </w:r>
    </w:p>
    <w:p w14:paraId="4276FE23" w14:textId="77777777" w:rsidR="003A14A7" w:rsidRDefault="00000000">
      <w:pPr>
        <w:spacing w:after="120"/>
      </w:pPr>
      <w:r>
        <w:rPr>
          <w:rFonts w:ascii="Calibri" w:eastAsia="Calibri" w:hAnsi="Calibri" w:cs="Calibri"/>
          <w:sz w:val="22"/>
          <w:szCs w:val="22"/>
        </w:rPr>
        <w:t>Supplier assumes full responsibility for the completion of the Services for the fixed price by the dates specified herein. Should the Supplier anticipate that the resources currently assigned to this SOW are not sufficient to ensure its timely completion, the Supplier will supplement them as necessary at no additional cost to the Customer. Furthermore, the Supplier will also advise the Customer of any issues or scope changes that would increase the cost of defined services within this SOW.</w:t>
      </w:r>
    </w:p>
    <w:p w14:paraId="6A0055A3" w14:textId="77777777" w:rsidR="003A14A7" w:rsidRDefault="00000000">
      <w:pPr>
        <w:spacing w:after="120"/>
      </w:pPr>
      <w:r>
        <w:rPr>
          <w:rFonts w:ascii="Calibri" w:eastAsia="Calibri" w:hAnsi="Calibri" w:cs="Calibri"/>
          <w:sz w:val="22"/>
          <w:szCs w:val="22"/>
        </w:rPr>
        <w:t xml:space="preserve">The Customer shall not be required to pay any amount </w:t>
      </w:r>
      <w:proofErr w:type="gramStart"/>
      <w:r>
        <w:rPr>
          <w:rFonts w:ascii="Calibri" w:eastAsia="Calibri" w:hAnsi="Calibri" w:cs="Calibri"/>
          <w:sz w:val="22"/>
          <w:szCs w:val="22"/>
        </w:rPr>
        <w:t>in excess of</w:t>
      </w:r>
      <w:proofErr w:type="gramEnd"/>
      <w:r>
        <w:rPr>
          <w:rFonts w:ascii="Calibri" w:eastAsia="Calibri" w:hAnsi="Calibri" w:cs="Calibri"/>
          <w:sz w:val="22"/>
          <w:szCs w:val="22"/>
        </w:rPr>
        <w:t xml:space="preserve"> the Fixed Fee plus taxes/expenses for the scope of work described in this SOW except as mutually agreed upon in a Change Order.</w:t>
      </w:r>
    </w:p>
    <w:p w14:paraId="29E22EA6" w14:textId="77777777" w:rsidR="003A14A7" w:rsidRDefault="00000000">
      <w:pPr>
        <w:spacing w:before="280" w:after="140"/>
      </w:pPr>
      <w:r>
        <w:rPr>
          <w:rFonts w:ascii="Calibri" w:eastAsia="Calibri" w:hAnsi="Calibri" w:cs="Calibri"/>
          <w:b/>
          <w:bCs/>
          <w:sz w:val="24"/>
          <w:szCs w:val="24"/>
        </w:rPr>
        <w:t>EXPENSES</w:t>
      </w:r>
    </w:p>
    <w:p w14:paraId="65246760" w14:textId="77777777" w:rsidR="003A14A7" w:rsidRDefault="00000000">
      <w:pPr>
        <w:spacing w:after="120"/>
      </w:pPr>
      <w:r>
        <w:rPr>
          <w:rFonts w:ascii="Calibri" w:eastAsia="Calibri" w:hAnsi="Calibri" w:cs="Calibri"/>
          <w:sz w:val="22"/>
          <w:szCs w:val="22"/>
        </w:rPr>
        <w:t>Following acceptance by Customer of the Deliverables, all reasonable travel and related expenses that have been pre-approved in writing by Customer and incurred by Supplier employees pursuant to the performance of the Services described in this SOW (“Expenses”) will be reimbursed by Customer in accordance with Customer’s Supplier Travel and Expense Policy (“Expense Policy”). Notwithstanding any provision to the contrary within the Expense Policy, Expenses will not exceed ten percent (10%) of the fees associated with this SOW.</w:t>
      </w:r>
    </w:p>
    <w:p w14:paraId="409EBC3F" w14:textId="77777777" w:rsidR="003A14A7" w:rsidRDefault="00000000">
      <w:pPr>
        <w:spacing w:after="120"/>
      </w:pPr>
      <w:r>
        <w:rPr>
          <w:rFonts w:ascii="Calibri" w:eastAsia="Calibri" w:hAnsi="Calibri" w:cs="Calibri"/>
          <w:sz w:val="22"/>
          <w:szCs w:val="22"/>
        </w:rPr>
        <w:t>For this engagement specifically, Peppermill will directly cover facility stays for the SmarTek21 onsite team (assume three (3) people, for a maximum of four to five (4–5) nights) and on-property dine-in meals for the project team (SmarTek21 and Peppermill) during the onsite assessment week, in lieu of standard expense reimbursement for these items.</w:t>
      </w:r>
    </w:p>
    <w:p w14:paraId="24A885B8" w14:textId="77777777" w:rsidR="003A14A7" w:rsidRDefault="00000000">
      <w:pPr>
        <w:spacing w:before="280" w:after="140"/>
      </w:pPr>
      <w:r>
        <w:rPr>
          <w:rFonts w:ascii="Calibri" w:eastAsia="Calibri" w:hAnsi="Calibri" w:cs="Calibri"/>
          <w:b/>
          <w:bCs/>
          <w:sz w:val="24"/>
          <w:szCs w:val="24"/>
        </w:rPr>
        <w:t>INVOICING</w:t>
      </w:r>
    </w:p>
    <w:p w14:paraId="701EAC99" w14:textId="77777777" w:rsidR="003A14A7" w:rsidRDefault="00000000">
      <w:pPr>
        <w:spacing w:after="120"/>
      </w:pPr>
      <w:r>
        <w:rPr>
          <w:rFonts w:ascii="Calibri" w:eastAsia="Calibri" w:hAnsi="Calibri" w:cs="Calibri"/>
          <w:sz w:val="22"/>
          <w:szCs w:val="22"/>
        </w:rPr>
        <w:t>Under this SOW, the Supplier will invoice the Customer at the end of each month. Payment terms are Net 30 days of receipt of invoice unless otherwise specified and/or agreed to by both parties noted in this SOW (Supplier/Customer).</w:t>
      </w:r>
    </w:p>
    <w:p w14:paraId="63D051BB" w14:textId="77777777" w:rsidR="003A14A7" w:rsidRDefault="00000000">
      <w:pPr>
        <w:spacing w:after="120"/>
      </w:pPr>
      <w:r>
        <w:rPr>
          <w:rFonts w:ascii="Calibri" w:eastAsia="Calibri" w:hAnsi="Calibri" w:cs="Calibri"/>
          <w:sz w:val="22"/>
          <w:szCs w:val="22"/>
        </w:rPr>
        <w:lastRenderedPageBreak/>
        <w:t>The Supplier will invoice the Customer for pre-approved, reasonable actual out-of-pocket travel, parking, and other approved expenses incurred during the performance of this engagement, where applicable.</w:t>
      </w:r>
    </w:p>
    <w:p w14:paraId="49DC5F5B" w14:textId="77777777" w:rsidR="003A14A7" w:rsidRDefault="00000000">
      <w:pPr>
        <w:spacing w:before="280" w:after="140"/>
      </w:pPr>
      <w:r>
        <w:rPr>
          <w:rFonts w:ascii="Calibri" w:eastAsia="Calibri" w:hAnsi="Calibri" w:cs="Calibri"/>
          <w:b/>
          <w:bCs/>
          <w:sz w:val="24"/>
          <w:szCs w:val="24"/>
        </w:rPr>
        <w:t>PROJECT MANAGERS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4A7" w14:paraId="24951DC1" w14:textId="77777777">
        <w:tblPrEx>
          <w:tblCellMar>
            <w:top w:w="0" w:type="dxa"/>
            <w:bottom w:w="0" w:type="dxa"/>
          </w:tblCellMar>
        </w:tblPrEx>
        <w:trPr>
          <w:cantSplit/>
        </w:trPr>
        <w:tc>
          <w:tcPr>
            <w:tcW w:w="4680" w:type="dxa"/>
            <w:shd w:val="clear" w:color="auto" w:fill="D9D9D9"/>
          </w:tcPr>
          <w:p w14:paraId="2642F988" w14:textId="77777777" w:rsidR="003A14A7" w:rsidRDefault="00000000">
            <w:r>
              <w:rPr>
                <w:rFonts w:ascii="Calibri" w:eastAsia="Calibri" w:hAnsi="Calibri" w:cs="Calibri"/>
                <w:b/>
                <w:bCs/>
              </w:rPr>
              <w:t>Customer Project Manager (“CPM”)</w:t>
            </w:r>
          </w:p>
        </w:tc>
        <w:tc>
          <w:tcPr>
            <w:tcW w:w="4680" w:type="dxa"/>
            <w:shd w:val="clear" w:color="auto" w:fill="D9D9D9"/>
          </w:tcPr>
          <w:p w14:paraId="726B9737" w14:textId="77777777" w:rsidR="003A14A7" w:rsidRDefault="00000000">
            <w:r>
              <w:rPr>
                <w:rFonts w:ascii="Calibri" w:eastAsia="Calibri" w:hAnsi="Calibri" w:cs="Calibri"/>
                <w:b/>
                <w:bCs/>
              </w:rPr>
              <w:t>Supplier Project Manager (“SPM”)</w:t>
            </w:r>
          </w:p>
        </w:tc>
      </w:tr>
      <w:tr w:rsidR="003A14A7" w14:paraId="47AF8DE3" w14:textId="77777777">
        <w:tblPrEx>
          <w:tblCellMar>
            <w:top w:w="0" w:type="dxa"/>
            <w:bottom w:w="0" w:type="dxa"/>
          </w:tblCellMar>
        </w:tblPrEx>
        <w:trPr>
          <w:cantSplit/>
        </w:trPr>
        <w:tc>
          <w:tcPr>
            <w:tcW w:w="4680" w:type="dxa"/>
          </w:tcPr>
          <w:p w14:paraId="07A349DC" w14:textId="77777777" w:rsidR="003A14A7" w:rsidRDefault="00000000">
            <w:r>
              <w:rPr>
                <w:rFonts w:ascii="Calibri" w:eastAsia="Calibri" w:hAnsi="Calibri" w:cs="Calibri"/>
              </w:rPr>
              <w:t>Name: [•]</w:t>
            </w:r>
          </w:p>
        </w:tc>
        <w:tc>
          <w:tcPr>
            <w:tcW w:w="4680" w:type="dxa"/>
          </w:tcPr>
          <w:p w14:paraId="1E55411C" w14:textId="77777777" w:rsidR="003A14A7" w:rsidRDefault="00000000">
            <w:r>
              <w:rPr>
                <w:rFonts w:ascii="Calibri" w:eastAsia="Calibri" w:hAnsi="Calibri" w:cs="Calibri"/>
              </w:rPr>
              <w:t>Name: [•]</w:t>
            </w:r>
          </w:p>
        </w:tc>
      </w:tr>
      <w:tr w:rsidR="003A14A7" w14:paraId="40357742" w14:textId="77777777">
        <w:tblPrEx>
          <w:tblCellMar>
            <w:top w:w="0" w:type="dxa"/>
            <w:bottom w:w="0" w:type="dxa"/>
          </w:tblCellMar>
        </w:tblPrEx>
        <w:trPr>
          <w:cantSplit/>
        </w:trPr>
        <w:tc>
          <w:tcPr>
            <w:tcW w:w="4680" w:type="dxa"/>
          </w:tcPr>
          <w:p w14:paraId="34E31894" w14:textId="77777777" w:rsidR="003A14A7" w:rsidRDefault="00000000">
            <w:r>
              <w:rPr>
                <w:rFonts w:ascii="Calibri" w:eastAsia="Calibri" w:hAnsi="Calibri" w:cs="Calibri"/>
              </w:rPr>
              <w:t>Address: [•]</w:t>
            </w:r>
          </w:p>
        </w:tc>
        <w:tc>
          <w:tcPr>
            <w:tcW w:w="4680" w:type="dxa"/>
          </w:tcPr>
          <w:p w14:paraId="0732BAD0" w14:textId="77777777" w:rsidR="003A14A7" w:rsidRDefault="00000000">
            <w:r>
              <w:rPr>
                <w:rFonts w:ascii="Calibri" w:eastAsia="Calibri" w:hAnsi="Calibri" w:cs="Calibri"/>
              </w:rPr>
              <w:t>Address: 12910 Totem Lake Blvd NE, Suite 200, Kirkland, WA 98034, USA</w:t>
            </w:r>
          </w:p>
        </w:tc>
      </w:tr>
      <w:tr w:rsidR="003A14A7" w14:paraId="0C8441A1" w14:textId="77777777">
        <w:tblPrEx>
          <w:tblCellMar>
            <w:top w:w="0" w:type="dxa"/>
            <w:bottom w:w="0" w:type="dxa"/>
          </w:tblCellMar>
        </w:tblPrEx>
        <w:trPr>
          <w:cantSplit/>
        </w:trPr>
        <w:tc>
          <w:tcPr>
            <w:tcW w:w="4680" w:type="dxa"/>
          </w:tcPr>
          <w:p w14:paraId="5E2CF392" w14:textId="77777777" w:rsidR="003A14A7" w:rsidRDefault="00000000">
            <w:r>
              <w:rPr>
                <w:rFonts w:ascii="Calibri" w:eastAsia="Calibri" w:hAnsi="Calibri" w:cs="Calibri"/>
              </w:rPr>
              <w:t>Phone: [•]</w:t>
            </w:r>
          </w:p>
        </w:tc>
        <w:tc>
          <w:tcPr>
            <w:tcW w:w="4680" w:type="dxa"/>
          </w:tcPr>
          <w:p w14:paraId="7D8904A6" w14:textId="77777777" w:rsidR="003A14A7" w:rsidRDefault="00000000">
            <w:r>
              <w:rPr>
                <w:rFonts w:ascii="Calibri" w:eastAsia="Calibri" w:hAnsi="Calibri" w:cs="Calibri"/>
              </w:rPr>
              <w:t>Phone: [•]</w:t>
            </w:r>
          </w:p>
        </w:tc>
      </w:tr>
      <w:tr w:rsidR="003A14A7" w14:paraId="6515E8EE" w14:textId="77777777">
        <w:tblPrEx>
          <w:tblCellMar>
            <w:top w:w="0" w:type="dxa"/>
            <w:bottom w:w="0" w:type="dxa"/>
          </w:tblCellMar>
        </w:tblPrEx>
        <w:trPr>
          <w:cantSplit/>
        </w:trPr>
        <w:tc>
          <w:tcPr>
            <w:tcW w:w="4680" w:type="dxa"/>
          </w:tcPr>
          <w:p w14:paraId="48D67190" w14:textId="77777777" w:rsidR="003A14A7" w:rsidRDefault="00000000">
            <w:r>
              <w:rPr>
                <w:rFonts w:ascii="Calibri" w:eastAsia="Calibri" w:hAnsi="Calibri" w:cs="Calibri"/>
              </w:rPr>
              <w:t>Email: [•]</w:t>
            </w:r>
          </w:p>
        </w:tc>
        <w:tc>
          <w:tcPr>
            <w:tcW w:w="4680" w:type="dxa"/>
          </w:tcPr>
          <w:p w14:paraId="65CF845E" w14:textId="77777777" w:rsidR="003A14A7" w:rsidRDefault="00000000">
            <w:r>
              <w:rPr>
                <w:rFonts w:ascii="Calibri" w:eastAsia="Calibri" w:hAnsi="Calibri" w:cs="Calibri"/>
              </w:rPr>
              <w:t>Email: [•]</w:t>
            </w:r>
          </w:p>
        </w:tc>
      </w:tr>
    </w:tbl>
    <w:p w14:paraId="1495EA0D" w14:textId="77777777" w:rsidR="00F61F95" w:rsidRDefault="00F61F95"/>
    <w:sectPr w:rsidR="00F61F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35F"/>
    <w:multiLevelType w:val="hybridMultilevel"/>
    <w:tmpl w:val="E948FEAE"/>
    <w:lvl w:ilvl="0" w:tplc="11ECD868">
      <w:start w:val="1"/>
      <w:numFmt w:val="bullet"/>
      <w:lvlText w:val="●"/>
      <w:lvlJc w:val="left"/>
      <w:pPr>
        <w:ind w:left="720" w:hanging="360"/>
      </w:pPr>
    </w:lvl>
    <w:lvl w:ilvl="1" w:tplc="AEC2C224">
      <w:start w:val="1"/>
      <w:numFmt w:val="bullet"/>
      <w:lvlText w:val="○"/>
      <w:lvlJc w:val="left"/>
      <w:pPr>
        <w:ind w:left="1440" w:hanging="360"/>
      </w:pPr>
    </w:lvl>
    <w:lvl w:ilvl="2" w:tplc="69C4F7DE">
      <w:start w:val="1"/>
      <w:numFmt w:val="bullet"/>
      <w:lvlText w:val="■"/>
      <w:lvlJc w:val="left"/>
      <w:pPr>
        <w:ind w:left="2160" w:hanging="360"/>
      </w:pPr>
    </w:lvl>
    <w:lvl w:ilvl="3" w:tplc="82964DA6">
      <w:start w:val="1"/>
      <w:numFmt w:val="bullet"/>
      <w:lvlText w:val="●"/>
      <w:lvlJc w:val="left"/>
      <w:pPr>
        <w:ind w:left="2880" w:hanging="360"/>
      </w:pPr>
    </w:lvl>
    <w:lvl w:ilvl="4" w:tplc="6374CEB8">
      <w:start w:val="1"/>
      <w:numFmt w:val="bullet"/>
      <w:lvlText w:val="○"/>
      <w:lvlJc w:val="left"/>
      <w:pPr>
        <w:ind w:left="3600" w:hanging="360"/>
      </w:pPr>
    </w:lvl>
    <w:lvl w:ilvl="5" w:tplc="160664DC">
      <w:start w:val="1"/>
      <w:numFmt w:val="bullet"/>
      <w:lvlText w:val="■"/>
      <w:lvlJc w:val="left"/>
      <w:pPr>
        <w:ind w:left="4320" w:hanging="360"/>
      </w:pPr>
    </w:lvl>
    <w:lvl w:ilvl="6" w:tplc="B6EADDAE">
      <w:start w:val="1"/>
      <w:numFmt w:val="bullet"/>
      <w:lvlText w:val="●"/>
      <w:lvlJc w:val="left"/>
      <w:pPr>
        <w:ind w:left="5040" w:hanging="360"/>
      </w:pPr>
    </w:lvl>
    <w:lvl w:ilvl="7" w:tplc="E1E00D96">
      <w:start w:val="1"/>
      <w:numFmt w:val="bullet"/>
      <w:lvlText w:val="●"/>
      <w:lvlJc w:val="left"/>
      <w:pPr>
        <w:ind w:left="5760" w:hanging="360"/>
      </w:pPr>
    </w:lvl>
    <w:lvl w:ilvl="8" w:tplc="AC1E75F4">
      <w:start w:val="1"/>
      <w:numFmt w:val="bullet"/>
      <w:lvlText w:val="●"/>
      <w:lvlJc w:val="left"/>
      <w:pPr>
        <w:ind w:left="6480" w:hanging="360"/>
      </w:pPr>
    </w:lvl>
  </w:abstractNum>
  <w:abstractNum w:abstractNumId="1" w15:restartNumberingAfterBreak="0">
    <w:nsid w:val="745C4FF5"/>
    <w:multiLevelType w:val="hybridMultilevel"/>
    <w:tmpl w:val="4F5E3FC0"/>
    <w:lvl w:ilvl="0" w:tplc="3BF0B554">
      <w:start w:val="1"/>
      <w:numFmt w:val="bullet"/>
      <w:lvlText w:val="•"/>
      <w:lvlJc w:val="left"/>
      <w:pPr>
        <w:ind w:left="360" w:hanging="260"/>
      </w:pPr>
    </w:lvl>
    <w:lvl w:ilvl="1" w:tplc="05B424A8">
      <w:start w:val="1"/>
      <w:numFmt w:val="bullet"/>
      <w:lvlText w:val="◦"/>
      <w:lvlJc w:val="left"/>
      <w:pPr>
        <w:ind w:left="720" w:hanging="260"/>
      </w:pPr>
    </w:lvl>
    <w:lvl w:ilvl="2" w:tplc="C5C82644">
      <w:numFmt w:val="decimal"/>
      <w:lvlText w:val=""/>
      <w:lvlJc w:val="left"/>
    </w:lvl>
    <w:lvl w:ilvl="3" w:tplc="857EDCF4">
      <w:numFmt w:val="decimal"/>
      <w:lvlText w:val=""/>
      <w:lvlJc w:val="left"/>
    </w:lvl>
    <w:lvl w:ilvl="4" w:tplc="0310C39A">
      <w:numFmt w:val="decimal"/>
      <w:lvlText w:val=""/>
      <w:lvlJc w:val="left"/>
    </w:lvl>
    <w:lvl w:ilvl="5" w:tplc="799E1D1E">
      <w:numFmt w:val="decimal"/>
      <w:lvlText w:val=""/>
      <w:lvlJc w:val="left"/>
    </w:lvl>
    <w:lvl w:ilvl="6" w:tplc="47FCF264">
      <w:numFmt w:val="decimal"/>
      <w:lvlText w:val=""/>
      <w:lvlJc w:val="left"/>
    </w:lvl>
    <w:lvl w:ilvl="7" w:tplc="90684FC4">
      <w:numFmt w:val="decimal"/>
      <w:lvlText w:val=""/>
      <w:lvlJc w:val="left"/>
    </w:lvl>
    <w:lvl w:ilvl="8" w:tplc="7226B870">
      <w:numFmt w:val="decimal"/>
      <w:lvlText w:val=""/>
      <w:lvlJc w:val="left"/>
    </w:lvl>
  </w:abstractNum>
  <w:num w:numId="1" w16cid:durableId="286932424">
    <w:abstractNumId w:val="0"/>
    <w:lvlOverride w:ilvl="0">
      <w:startOverride w:val="1"/>
    </w:lvlOverride>
  </w:num>
  <w:num w:numId="2" w16cid:durableId="289821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4A7"/>
    <w:rsid w:val="003A14A7"/>
    <w:rsid w:val="00503FBE"/>
    <w:rsid w:val="00CE1BA2"/>
    <w:rsid w:val="00F61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1120D"/>
  <w15:docId w15:val="{230F0DD1-5159-B64A-AA89-10A60309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parimi</cp:lastModifiedBy>
  <cp:revision>2</cp:revision>
  <dcterms:created xsi:type="dcterms:W3CDTF">2026-08-04T20:15:00Z</dcterms:created>
  <dcterms:modified xsi:type="dcterms:W3CDTF">2026-08-09T18:00:00Z</dcterms:modified>
</cp:coreProperties>
</file>