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F3A9" w14:textId="2D9B2063" w:rsidR="00DD5920" w:rsidRPr="00DD5920" w:rsidRDefault="00DD5920" w:rsidP="00DD5920">
      <w:pPr>
        <w:rPr>
          <w:rFonts w:ascii="Times New Roman" w:hAnsi="Times New Roman" w:cs="Times New Roman"/>
          <w:b/>
          <w:bCs/>
        </w:rPr>
      </w:pPr>
      <w:proofErr w:type="gramStart"/>
      <w:r w:rsidRPr="00DD5920">
        <w:rPr>
          <w:rFonts w:ascii="Times New Roman" w:hAnsi="Times New Roman" w:cs="Times New Roman"/>
          <w:b/>
          <w:bCs/>
        </w:rPr>
        <w:t>Name:-</w:t>
      </w:r>
      <w:proofErr w:type="gramEnd"/>
      <w:r w:rsidR="00C365CD">
        <w:rPr>
          <w:rFonts w:ascii="Times New Roman" w:hAnsi="Times New Roman" w:cs="Times New Roman"/>
          <w:b/>
          <w:bCs/>
        </w:rPr>
        <w:t>B Srikar</w:t>
      </w:r>
      <w:r w:rsidRPr="00DD592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</w:t>
      </w:r>
      <w:proofErr w:type="gramStart"/>
      <w:r w:rsidR="00C365CD">
        <w:rPr>
          <w:rFonts w:ascii="Times New Roman" w:hAnsi="Times New Roman" w:cs="Times New Roman"/>
          <w:b/>
          <w:bCs/>
        </w:rPr>
        <w:t>S</w:t>
      </w:r>
      <w:r w:rsidRPr="00DD5920">
        <w:rPr>
          <w:rFonts w:ascii="Times New Roman" w:hAnsi="Times New Roman" w:cs="Times New Roman"/>
          <w:b/>
          <w:bCs/>
        </w:rPr>
        <w:t>lot :</w:t>
      </w:r>
      <w:proofErr w:type="gramEnd"/>
      <w:r w:rsidRPr="00DD5920">
        <w:rPr>
          <w:rFonts w:ascii="Times New Roman" w:hAnsi="Times New Roman" w:cs="Times New Roman"/>
          <w:b/>
          <w:bCs/>
        </w:rPr>
        <w:t>-c</w:t>
      </w:r>
    </w:p>
    <w:p w14:paraId="36449C65" w14:textId="2042E89D" w:rsidR="00DD5920" w:rsidRPr="00DD5920" w:rsidRDefault="00DD5920" w:rsidP="00DD5920">
      <w:pPr>
        <w:rPr>
          <w:rFonts w:ascii="Times New Roman" w:hAnsi="Times New Roman" w:cs="Times New Roman"/>
          <w:b/>
          <w:bCs/>
        </w:rPr>
      </w:pPr>
      <w:r w:rsidRPr="00DD5920">
        <w:rPr>
          <w:rFonts w:ascii="Times New Roman" w:hAnsi="Times New Roman" w:cs="Times New Roman"/>
          <w:b/>
          <w:bCs/>
        </w:rPr>
        <w:t>Reg.</w:t>
      </w:r>
      <w:r w:rsidR="00C365CD">
        <w:rPr>
          <w:rFonts w:ascii="Times New Roman" w:hAnsi="Times New Roman" w:cs="Times New Roman"/>
          <w:b/>
          <w:bCs/>
        </w:rPr>
        <w:t>192312346</w:t>
      </w:r>
      <w:r w:rsidRPr="00DD5920">
        <w:rPr>
          <w:rFonts w:ascii="Times New Roman" w:hAnsi="Times New Roman" w:cs="Times New Roman"/>
          <w:b/>
          <w:bCs/>
        </w:rPr>
        <w:t xml:space="preserve">                                                                     ECA3102 - NANO ELECTRONICS</w:t>
      </w:r>
    </w:p>
    <w:p w14:paraId="0130AE3B" w14:textId="2CFA2752" w:rsidR="00DD5920" w:rsidRPr="00C14451" w:rsidRDefault="00DD5920" w:rsidP="00DD5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451">
        <w:rPr>
          <w:rFonts w:ascii="Times New Roman" w:hAnsi="Times New Roman" w:cs="Times New Roman"/>
          <w:b/>
          <w:bCs/>
          <w:sz w:val="24"/>
          <w:szCs w:val="24"/>
        </w:rPr>
        <w:t>EXP.NO:</w:t>
      </w:r>
      <w:r w:rsidR="00581E9A" w:rsidRPr="00C14451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294A6DAC" w14:textId="50414110" w:rsidR="00DD5920" w:rsidRDefault="002F5B1D" w:rsidP="002F5B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B1D">
        <w:rPr>
          <w:rFonts w:ascii="Times New Roman" w:hAnsi="Times New Roman" w:cs="Times New Roman"/>
          <w:b/>
          <w:bCs/>
          <w:sz w:val="28"/>
          <w:szCs w:val="28"/>
        </w:rPr>
        <w:t xml:space="preserve">Simulation of VI Characteristics of FINFET, CNTFET and GFET using </w:t>
      </w:r>
      <w:proofErr w:type="spellStart"/>
      <w:r w:rsidRPr="002F5B1D">
        <w:rPr>
          <w:rFonts w:ascii="Times New Roman" w:hAnsi="Times New Roman" w:cs="Times New Roman"/>
          <w:b/>
          <w:bCs/>
          <w:sz w:val="28"/>
          <w:szCs w:val="28"/>
        </w:rPr>
        <w:t>NanoHub</w:t>
      </w:r>
      <w:proofErr w:type="spellEnd"/>
    </w:p>
    <w:p w14:paraId="68F69EFB" w14:textId="55B52D74" w:rsidR="002F5B1D" w:rsidRDefault="002F5B1D" w:rsidP="002F5B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F5B1D">
        <w:rPr>
          <w:rFonts w:ascii="Times New Roman" w:hAnsi="Times New Roman" w:cs="Times New Roman"/>
          <w:b/>
          <w:bCs/>
          <w:sz w:val="28"/>
          <w:szCs w:val="28"/>
        </w:rPr>
        <w:t>FINFET</w:t>
      </w:r>
    </w:p>
    <w:p w14:paraId="44FF0639" w14:textId="5F0D34E0" w:rsidR="002F5B1D" w:rsidRPr="002F5B1D" w:rsidRDefault="002F5B1D" w:rsidP="002F5B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2F5B1D">
        <w:rPr>
          <w:rFonts w:ascii="Times New Roman" w:hAnsi="Times New Roman" w:cs="Times New Roman"/>
          <w:b/>
          <w:bCs/>
          <w:sz w:val="28"/>
          <w:szCs w:val="28"/>
        </w:rPr>
        <w:t xml:space="preserve">ase Study 1: Simulate &amp; obtain the current spectrum characteristics for the last bias point of </w:t>
      </w:r>
      <w:proofErr w:type="spellStart"/>
      <w:r w:rsidRPr="002F5B1D">
        <w:rPr>
          <w:rFonts w:ascii="Times New Roman" w:hAnsi="Times New Roman" w:cs="Times New Roman"/>
          <w:b/>
          <w:bCs/>
          <w:sz w:val="28"/>
          <w:szCs w:val="28"/>
        </w:rPr>
        <w:t>FinFET</w:t>
      </w:r>
      <w:proofErr w:type="spellEnd"/>
      <w:r w:rsidRPr="002F5B1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2F5B1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2F5B1D">
        <w:rPr>
          <w:rFonts w:ascii="Times New Roman" w:hAnsi="Times New Roman" w:cs="Times New Roman"/>
          <w:b/>
          <w:bCs/>
          <w:sz w:val="28"/>
          <w:szCs w:val="28"/>
        </w:rPr>
        <w:t xml:space="preserve"> the performance for different Oxide layer thicknesses</w:t>
      </w:r>
    </w:p>
    <w:p w14:paraId="04874AB3" w14:textId="4BB9459C" w:rsidR="002F5B1D" w:rsidRDefault="002F5B1D" w:rsidP="002F5B1D">
      <w:pPr>
        <w:pStyle w:val="NormalWeb"/>
        <w:ind w:left="360"/>
      </w:pPr>
      <w:r>
        <w:rPr>
          <w:noProof/>
        </w:rPr>
        <w:drawing>
          <wp:inline distT="0" distB="0" distL="0" distR="0" wp14:anchorId="695888DC" wp14:editId="35BA4E2B">
            <wp:extent cx="5731510" cy="2913380"/>
            <wp:effectExtent l="0" t="0" r="2540" b="1270"/>
            <wp:docPr id="98686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5EB72" w14:textId="08AEEE0E" w:rsidR="002F5B1D" w:rsidRDefault="002F5B1D" w:rsidP="002F5B1D">
      <w:pPr>
        <w:pStyle w:val="NormalWeb"/>
        <w:ind w:left="360"/>
      </w:pPr>
      <w:r w:rsidRPr="002F5B1D">
        <w:rPr>
          <w:noProof/>
        </w:rPr>
        <w:drawing>
          <wp:inline distT="0" distB="0" distL="0" distR="0" wp14:anchorId="13399AD7" wp14:editId="716A2BD0">
            <wp:extent cx="5577840" cy="2785403"/>
            <wp:effectExtent l="0" t="0" r="3810" b="0"/>
            <wp:docPr id="1695013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842" cy="280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05E8" w14:textId="77777777" w:rsidR="002F5B1D" w:rsidRDefault="002F5B1D" w:rsidP="002F5B1D">
      <w:pPr>
        <w:pStyle w:val="NormalWeb"/>
        <w:ind w:left="360"/>
      </w:pPr>
    </w:p>
    <w:p w14:paraId="67EB9F82" w14:textId="10026BC6" w:rsidR="002F5B1D" w:rsidRDefault="002F5B1D" w:rsidP="002F5B1D">
      <w:pPr>
        <w:pStyle w:val="NormalWeb"/>
        <w:ind w:left="360"/>
      </w:pPr>
      <w:r w:rsidRPr="002F5B1D">
        <w:rPr>
          <w:noProof/>
        </w:rPr>
        <w:lastRenderedPageBreak/>
        <w:drawing>
          <wp:inline distT="0" distB="0" distL="0" distR="0" wp14:anchorId="64BAA8D3" wp14:editId="333644CA">
            <wp:extent cx="5731510" cy="3163570"/>
            <wp:effectExtent l="0" t="0" r="2540" b="0"/>
            <wp:docPr id="830318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4B6E" w14:textId="1346A696" w:rsidR="002F5B1D" w:rsidRPr="002F5B1D" w:rsidRDefault="002F5B1D" w:rsidP="00886EC3">
      <w:pPr>
        <w:pStyle w:val="NormalWeb"/>
        <w:ind w:left="360"/>
      </w:pPr>
      <w:r w:rsidRPr="002F5B1D">
        <w:rPr>
          <w:noProof/>
        </w:rPr>
        <w:drawing>
          <wp:inline distT="0" distB="0" distL="0" distR="0" wp14:anchorId="2B5BA3C4" wp14:editId="15C16B9D">
            <wp:extent cx="5731510" cy="3543935"/>
            <wp:effectExtent l="0" t="0" r="2540" b="0"/>
            <wp:docPr id="1217124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8C15" w14:textId="77777777" w:rsidR="00886EC3" w:rsidRPr="00886EC3" w:rsidRDefault="00886EC3" w:rsidP="00886EC3">
      <w:pPr>
        <w:pStyle w:val="NormalWeb"/>
        <w:ind w:left="360"/>
        <w:rPr>
          <w:b/>
          <w:bCs/>
        </w:rPr>
      </w:pPr>
      <w:r w:rsidRPr="00886EC3">
        <w:rPr>
          <w:b/>
          <w:bCs/>
        </w:rPr>
        <w:t>Result Interpretation</w:t>
      </w:r>
    </w:p>
    <w:p w14:paraId="35EFF0D3" w14:textId="77777777" w:rsidR="00886EC3" w:rsidRPr="00886EC3" w:rsidRDefault="00886EC3" w:rsidP="00886EC3">
      <w:pPr>
        <w:pStyle w:val="NormalWeb"/>
        <w:numPr>
          <w:ilvl w:val="0"/>
          <w:numId w:val="12"/>
        </w:numPr>
        <w:spacing w:line="360" w:lineRule="auto"/>
        <w:jc w:val="both"/>
      </w:pPr>
      <w:r w:rsidRPr="00886EC3">
        <w:t xml:space="preserve">The current spectrum at the last bias point shows smooth electron transport, indicating proper operation of the </w:t>
      </w:r>
      <w:proofErr w:type="spellStart"/>
      <w:r w:rsidRPr="00886EC3">
        <w:t>FinFET</w:t>
      </w:r>
      <w:proofErr w:type="spellEnd"/>
      <w:r w:rsidRPr="00886EC3">
        <w:t xml:space="preserve"> device with stable carrier conduction. </w:t>
      </w:r>
    </w:p>
    <w:p w14:paraId="50F69768" w14:textId="77777777" w:rsidR="00886EC3" w:rsidRPr="00886EC3" w:rsidRDefault="00886EC3" w:rsidP="00886EC3">
      <w:pPr>
        <w:pStyle w:val="NormalWeb"/>
        <w:numPr>
          <w:ilvl w:val="0"/>
          <w:numId w:val="12"/>
        </w:numPr>
        <w:spacing w:line="360" w:lineRule="auto"/>
        <w:jc w:val="both"/>
      </w:pPr>
      <w:r w:rsidRPr="00886EC3">
        <w:t xml:space="preserve">As the oxide layer thickness is reduced, the gate control over the channel improves, resulting in higher drain current and better device performance. </w:t>
      </w:r>
    </w:p>
    <w:p w14:paraId="1F1B58EF" w14:textId="77777777" w:rsidR="00886EC3" w:rsidRDefault="00886EC3" w:rsidP="00886EC3">
      <w:pPr>
        <w:pStyle w:val="NormalWeb"/>
        <w:numPr>
          <w:ilvl w:val="0"/>
          <w:numId w:val="12"/>
        </w:numPr>
        <w:spacing w:line="360" w:lineRule="auto"/>
        <w:jc w:val="both"/>
      </w:pPr>
      <w:r w:rsidRPr="00886EC3">
        <w:lastRenderedPageBreak/>
        <w:t>The simulation confirms that thinner oxide layers provide improved current conduction and switching characteristics, while thicker oxide layers reduce current due to weaker gate control.</w:t>
      </w:r>
    </w:p>
    <w:p w14:paraId="716471C1" w14:textId="5445A5DA" w:rsidR="00886EC3" w:rsidRDefault="00886EC3" w:rsidP="00886EC3">
      <w:pPr>
        <w:pStyle w:val="NormalWeb"/>
        <w:spacing w:line="360" w:lineRule="auto"/>
        <w:jc w:val="both"/>
        <w:rPr>
          <w:b/>
          <w:bCs/>
        </w:rPr>
      </w:pPr>
      <w:r w:rsidRPr="00886EC3">
        <w:rPr>
          <w:b/>
          <w:bCs/>
        </w:rPr>
        <w:t xml:space="preserve">Case Study 2: Simulate &amp; obtain the electron density per sheet characteristics of </w:t>
      </w:r>
      <w:proofErr w:type="spellStart"/>
      <w:r w:rsidRPr="00886EC3">
        <w:rPr>
          <w:b/>
          <w:bCs/>
        </w:rPr>
        <w:t>FinFET</w:t>
      </w:r>
      <w:proofErr w:type="spellEnd"/>
      <w:r w:rsidRPr="00886EC3">
        <w:rPr>
          <w:b/>
          <w:bCs/>
        </w:rPr>
        <w:t xml:space="preserve">. </w:t>
      </w:r>
      <w:proofErr w:type="spellStart"/>
      <w:r w:rsidRPr="00886EC3">
        <w:rPr>
          <w:b/>
          <w:bCs/>
        </w:rPr>
        <w:t>Analyze</w:t>
      </w:r>
      <w:proofErr w:type="spellEnd"/>
      <w:r w:rsidRPr="00886EC3">
        <w:rPr>
          <w:b/>
          <w:bCs/>
        </w:rPr>
        <w:t xml:space="preserve"> its performance with different Gate region length</w:t>
      </w:r>
    </w:p>
    <w:p w14:paraId="611F3852" w14:textId="3AFE9217" w:rsidR="00886EC3" w:rsidRDefault="00886EC3" w:rsidP="00886EC3">
      <w:pPr>
        <w:pStyle w:val="NormalWeb"/>
        <w:spacing w:line="360" w:lineRule="auto"/>
        <w:jc w:val="both"/>
      </w:pPr>
      <w:r>
        <w:t>MoS</w:t>
      </w:r>
      <w:r w:rsidRPr="00886EC3">
        <w:rPr>
          <w:b/>
          <w:bCs/>
          <w:noProof/>
        </w:rPr>
        <w:drawing>
          <wp:inline distT="0" distB="0" distL="0" distR="0" wp14:anchorId="70188061" wp14:editId="67CC5262">
            <wp:extent cx="5731404" cy="2356338"/>
            <wp:effectExtent l="0" t="0" r="3175" b="6350"/>
            <wp:docPr id="2000777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519" cy="236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FB41F" w14:textId="11F3BC46" w:rsidR="00886EC3" w:rsidRDefault="00886EC3" w:rsidP="00886EC3">
      <w:pPr>
        <w:pStyle w:val="NormalWeb"/>
        <w:spacing w:line="360" w:lineRule="auto"/>
        <w:jc w:val="both"/>
      </w:pPr>
      <w:r>
        <w:t>WSe2</w:t>
      </w:r>
    </w:p>
    <w:p w14:paraId="30D2AE5F" w14:textId="6762ABE2" w:rsidR="00886EC3" w:rsidRDefault="00886EC3" w:rsidP="00886EC3">
      <w:pPr>
        <w:pStyle w:val="NormalWeb"/>
        <w:spacing w:line="360" w:lineRule="auto"/>
        <w:jc w:val="both"/>
      </w:pPr>
      <w:r w:rsidRPr="00886EC3">
        <w:rPr>
          <w:noProof/>
        </w:rPr>
        <w:drawing>
          <wp:inline distT="0" distB="0" distL="0" distR="0" wp14:anchorId="6EA2E0C4" wp14:editId="6CAE7616">
            <wp:extent cx="5731510" cy="2637692"/>
            <wp:effectExtent l="0" t="0" r="2540" b="0"/>
            <wp:docPr id="1844795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65" cy="264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EA6A" w14:textId="337F3A9B" w:rsidR="00130A60" w:rsidRPr="00130A60" w:rsidRDefault="00130A60" w:rsidP="00130A60">
      <w:pPr>
        <w:pStyle w:val="NormalWeb"/>
        <w:spacing w:line="360" w:lineRule="auto"/>
        <w:jc w:val="both"/>
        <w:rPr>
          <w:b/>
          <w:bCs/>
        </w:rPr>
      </w:pPr>
      <w:r w:rsidRPr="00130A60">
        <w:rPr>
          <w:b/>
          <w:bCs/>
        </w:rPr>
        <w:t xml:space="preserve">Result Interpretation </w:t>
      </w:r>
    </w:p>
    <w:p w14:paraId="77ACBF8B" w14:textId="77777777" w:rsidR="00130A60" w:rsidRPr="00130A60" w:rsidRDefault="00130A60" w:rsidP="00130A60">
      <w:pPr>
        <w:pStyle w:val="NormalWeb"/>
        <w:numPr>
          <w:ilvl w:val="0"/>
          <w:numId w:val="13"/>
        </w:numPr>
        <w:spacing w:line="360" w:lineRule="auto"/>
        <w:jc w:val="both"/>
      </w:pPr>
      <w:r w:rsidRPr="00130A60">
        <w:t xml:space="preserve">The electron density sheet increases with increasing gate voltage (Vg), indicating improved channel formation and carrier transport. </w:t>
      </w:r>
    </w:p>
    <w:p w14:paraId="393D2BEF" w14:textId="77777777" w:rsidR="00130A60" w:rsidRPr="00130A60" w:rsidRDefault="00130A60" w:rsidP="00130A60">
      <w:pPr>
        <w:pStyle w:val="NormalWeb"/>
        <w:numPr>
          <w:ilvl w:val="0"/>
          <w:numId w:val="13"/>
        </w:numPr>
        <w:spacing w:line="360" w:lineRule="auto"/>
        <w:jc w:val="both"/>
      </w:pPr>
      <w:r w:rsidRPr="00130A60">
        <w:lastRenderedPageBreak/>
        <w:t xml:space="preserve">A shorter gate region length provides better electrostatic control, resulting in higher electron density and improved device performance. </w:t>
      </w:r>
    </w:p>
    <w:p w14:paraId="7ACB5426" w14:textId="77777777" w:rsidR="00130A60" w:rsidRPr="00130A60" w:rsidRDefault="00130A60" w:rsidP="00130A60">
      <w:pPr>
        <w:pStyle w:val="NormalWeb"/>
        <w:numPr>
          <w:ilvl w:val="0"/>
          <w:numId w:val="13"/>
        </w:numPr>
        <w:spacing w:line="360" w:lineRule="auto"/>
        <w:jc w:val="both"/>
      </w:pPr>
      <w:r w:rsidRPr="00130A60">
        <w:t xml:space="preserve">The simulation confirms that both MoS₂ and </w:t>
      </w:r>
      <w:proofErr w:type="spellStart"/>
      <w:r w:rsidRPr="00130A60">
        <w:t>WSe</w:t>
      </w:r>
      <w:proofErr w:type="spellEnd"/>
      <w:r w:rsidRPr="00130A60">
        <w:t xml:space="preserve">₂ </w:t>
      </w:r>
      <w:proofErr w:type="spellStart"/>
      <w:r w:rsidRPr="00130A60">
        <w:t>FinFETs</w:t>
      </w:r>
      <w:proofErr w:type="spellEnd"/>
      <w:r w:rsidRPr="00130A60">
        <w:t xml:space="preserve"> exhibit effective channel modulation, making them suitable for low-power, high-speed </w:t>
      </w:r>
      <w:proofErr w:type="spellStart"/>
      <w:r w:rsidRPr="00130A60">
        <w:t>nanoelectronic</w:t>
      </w:r>
      <w:proofErr w:type="spellEnd"/>
      <w:r w:rsidRPr="00130A60">
        <w:t xml:space="preserve"> applications.</w:t>
      </w:r>
    </w:p>
    <w:p w14:paraId="4D7FADDD" w14:textId="366A4DAD" w:rsidR="00130A60" w:rsidRPr="00130A60" w:rsidRDefault="00130A60" w:rsidP="00130A60">
      <w:pPr>
        <w:pStyle w:val="NormalWeb"/>
        <w:spacing w:line="360" w:lineRule="auto"/>
        <w:jc w:val="both"/>
        <w:rPr>
          <w:b/>
          <w:bCs/>
        </w:rPr>
      </w:pPr>
      <w:r w:rsidRPr="00130A60">
        <w:rPr>
          <w:b/>
          <w:bCs/>
        </w:rPr>
        <w:t xml:space="preserve">Conclusion </w:t>
      </w:r>
    </w:p>
    <w:p w14:paraId="363DC68F" w14:textId="77777777" w:rsidR="00130A60" w:rsidRPr="00130A60" w:rsidRDefault="00130A60" w:rsidP="00130A60">
      <w:pPr>
        <w:pStyle w:val="NormalWeb"/>
        <w:numPr>
          <w:ilvl w:val="0"/>
          <w:numId w:val="14"/>
        </w:numPr>
        <w:spacing w:line="360" w:lineRule="auto"/>
        <w:jc w:val="both"/>
      </w:pPr>
      <w:r w:rsidRPr="00130A60">
        <w:t xml:space="preserve">The </w:t>
      </w:r>
      <w:proofErr w:type="spellStart"/>
      <w:r w:rsidRPr="00130A60">
        <w:t>FinFET</w:t>
      </w:r>
      <w:proofErr w:type="spellEnd"/>
      <w:r w:rsidRPr="00130A60">
        <w:t xml:space="preserve"> simulation successfully obtained the electron density sheet characteristics for different gate region lengths. </w:t>
      </w:r>
    </w:p>
    <w:p w14:paraId="7AF73C87" w14:textId="77777777" w:rsidR="00130A60" w:rsidRPr="00130A60" w:rsidRDefault="00130A60" w:rsidP="00130A60">
      <w:pPr>
        <w:pStyle w:val="NormalWeb"/>
        <w:numPr>
          <w:ilvl w:val="0"/>
          <w:numId w:val="14"/>
        </w:numPr>
        <w:spacing w:line="360" w:lineRule="auto"/>
        <w:jc w:val="both"/>
      </w:pPr>
      <w:r w:rsidRPr="00130A60">
        <w:t xml:space="preserve">Reducing the gate region length improved gate control and enhanced electron density in the channel. </w:t>
      </w:r>
    </w:p>
    <w:p w14:paraId="79DA0C6A" w14:textId="77777777" w:rsidR="00130A60" w:rsidRPr="00130A60" w:rsidRDefault="00130A60" w:rsidP="00130A60">
      <w:pPr>
        <w:pStyle w:val="NormalWeb"/>
        <w:numPr>
          <w:ilvl w:val="0"/>
          <w:numId w:val="14"/>
        </w:numPr>
        <w:spacing w:line="360" w:lineRule="auto"/>
        <w:jc w:val="both"/>
      </w:pPr>
      <w:r w:rsidRPr="00130A60">
        <w:t xml:space="preserve">Overall, the results demonstrate that optimizing the gate region length enhances </w:t>
      </w:r>
      <w:proofErr w:type="spellStart"/>
      <w:r w:rsidRPr="00130A60">
        <w:t>FinFET</w:t>
      </w:r>
      <w:proofErr w:type="spellEnd"/>
      <w:r w:rsidRPr="00130A60">
        <w:t xml:space="preserve"> performance, making it suitable for advanced nanoscale electronic devices. </w:t>
      </w:r>
    </w:p>
    <w:p w14:paraId="3D1B24A3" w14:textId="52441A2D" w:rsidR="00130A60" w:rsidRPr="00130A60" w:rsidRDefault="00130A60" w:rsidP="00130A60">
      <w:pPr>
        <w:pStyle w:val="NormalWeb"/>
        <w:spacing w:line="360" w:lineRule="auto"/>
        <w:jc w:val="both"/>
        <w:rPr>
          <w:b/>
          <w:bCs/>
          <w:vanish/>
        </w:rPr>
      </w:pPr>
      <w:r w:rsidRPr="00130A60">
        <w:rPr>
          <w:b/>
          <w:bCs/>
        </w:rPr>
        <w:t>(b) CNTFET</w:t>
      </w:r>
      <w:r w:rsidRPr="00130A60">
        <w:rPr>
          <w:b/>
          <w:bCs/>
          <w:vanish/>
        </w:rPr>
        <w:t>Top of Form</w:t>
      </w:r>
    </w:p>
    <w:p w14:paraId="5D9A15B1" w14:textId="77777777" w:rsidR="00130A60" w:rsidRDefault="00130A60" w:rsidP="00130A60">
      <w:pPr>
        <w:pStyle w:val="NormalWeb"/>
        <w:spacing w:line="360" w:lineRule="auto"/>
        <w:jc w:val="both"/>
      </w:pPr>
      <w:r w:rsidRPr="00130A60">
        <w:rPr>
          <w:b/>
          <w:bCs/>
          <w:vanish/>
        </w:rPr>
        <w:t>Bottom of Form</w:t>
      </w:r>
    </w:p>
    <w:p w14:paraId="6B70DDA5" w14:textId="77777777" w:rsidR="00DF35D3" w:rsidRPr="00130A60" w:rsidRDefault="00DF35D3" w:rsidP="00130A60">
      <w:pPr>
        <w:pStyle w:val="NormalWeb"/>
        <w:spacing w:line="360" w:lineRule="auto"/>
        <w:jc w:val="both"/>
        <w:rPr>
          <w:b/>
          <w:bCs/>
          <w:vanish/>
        </w:rPr>
      </w:pPr>
    </w:p>
    <w:p w14:paraId="2903578E" w14:textId="728018C6" w:rsidR="00886EC3" w:rsidRDefault="00130A60" w:rsidP="00130A60">
      <w:pPr>
        <w:pStyle w:val="NormalWeb"/>
        <w:spacing w:line="360" w:lineRule="auto"/>
        <w:jc w:val="both"/>
        <w:rPr>
          <w:b/>
          <w:bCs/>
        </w:rPr>
      </w:pPr>
      <w:r w:rsidRPr="00130A60">
        <w:rPr>
          <w:b/>
          <w:bCs/>
        </w:rPr>
        <w:t>Case study 1: Simulate &amp; Obtain the VI characteristics of CNT-FET by varying Schottky barrier and oxide thickness</w:t>
      </w:r>
    </w:p>
    <w:p w14:paraId="5895F02D" w14:textId="34967B37" w:rsidR="00DF35D3" w:rsidRPr="00DF35D3" w:rsidRDefault="00DF35D3" w:rsidP="00DF35D3">
      <w:pPr>
        <w:pStyle w:val="NormalWeb"/>
        <w:spacing w:line="360" w:lineRule="auto"/>
        <w:jc w:val="both"/>
        <w:rPr>
          <w:b/>
          <w:bCs/>
        </w:rPr>
      </w:pPr>
      <w:r w:rsidRPr="00DF35D3">
        <w:rPr>
          <w:b/>
          <w:bCs/>
          <w:noProof/>
        </w:rPr>
        <w:drawing>
          <wp:inline distT="0" distB="0" distL="0" distR="0" wp14:anchorId="591A149F" wp14:editId="6811A34D">
            <wp:extent cx="5140906" cy="3868616"/>
            <wp:effectExtent l="0" t="0" r="3175" b="0"/>
            <wp:docPr id="5949737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757" cy="389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9713" w14:textId="1708CD0D" w:rsidR="00DF35D3" w:rsidRDefault="00DF35D3" w:rsidP="00130A60">
      <w:pPr>
        <w:pStyle w:val="NormalWeb"/>
        <w:spacing w:line="360" w:lineRule="auto"/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AF2FE8" wp14:editId="1A9DEFB9">
            <wp:extent cx="5731134" cy="4584789"/>
            <wp:effectExtent l="0" t="0" r="3175" b="6350"/>
            <wp:docPr id="52827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71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784" cy="45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DBF7" w14:textId="77777777" w:rsidR="00FC6900" w:rsidRPr="00FC6900" w:rsidRDefault="00FC6900" w:rsidP="00FC6900">
      <w:pPr>
        <w:pStyle w:val="NormalWeb"/>
        <w:spacing w:line="360" w:lineRule="auto"/>
        <w:jc w:val="both"/>
        <w:rPr>
          <w:b/>
          <w:bCs/>
        </w:rPr>
      </w:pPr>
      <w:r w:rsidRPr="00FC6900">
        <w:rPr>
          <w:b/>
          <w:bCs/>
        </w:rPr>
        <w:t>Result Interpretation</w:t>
      </w:r>
    </w:p>
    <w:p w14:paraId="5A9C6BD2" w14:textId="77777777" w:rsidR="00FC6900" w:rsidRPr="00FC6900" w:rsidRDefault="00FC6900" w:rsidP="00FC6900">
      <w:pPr>
        <w:pStyle w:val="NormalWeb"/>
        <w:numPr>
          <w:ilvl w:val="0"/>
          <w:numId w:val="15"/>
        </w:numPr>
        <w:spacing w:line="360" w:lineRule="auto"/>
        <w:jc w:val="both"/>
      </w:pPr>
      <w:r w:rsidRPr="00FC6900">
        <w:t>The drain current (Id) increases with an increase in drain voltage (</w:t>
      </w:r>
      <w:proofErr w:type="spellStart"/>
      <w:r w:rsidRPr="00FC6900">
        <w:t>Vds</w:t>
      </w:r>
      <w:proofErr w:type="spellEnd"/>
      <w:r w:rsidRPr="00FC6900">
        <w:t xml:space="preserve">), confirming the normal VI characteristics of the CNTFET. </w:t>
      </w:r>
    </w:p>
    <w:p w14:paraId="3DE13001" w14:textId="77777777" w:rsidR="00FC6900" w:rsidRPr="00FC6900" w:rsidRDefault="00FC6900" w:rsidP="00FC6900">
      <w:pPr>
        <w:pStyle w:val="NormalWeb"/>
        <w:numPr>
          <w:ilvl w:val="0"/>
          <w:numId w:val="15"/>
        </w:numPr>
        <w:spacing w:line="360" w:lineRule="auto"/>
        <w:jc w:val="both"/>
      </w:pPr>
      <w:r w:rsidRPr="00FC6900">
        <w:t xml:space="preserve">Reducing the oxide thickness improves gate control over the channel, resulting in higher drain current and better device performance. </w:t>
      </w:r>
    </w:p>
    <w:p w14:paraId="02FB729B" w14:textId="77777777" w:rsidR="00FC6900" w:rsidRDefault="00FC6900" w:rsidP="00FC6900">
      <w:pPr>
        <w:pStyle w:val="NormalWeb"/>
        <w:numPr>
          <w:ilvl w:val="0"/>
          <w:numId w:val="15"/>
        </w:numPr>
        <w:spacing w:line="360" w:lineRule="auto"/>
        <w:jc w:val="both"/>
      </w:pPr>
      <w:r w:rsidRPr="00FC6900">
        <w:t>Increasing the Schottky barrier height reduces carrier injection at the source/drain contacts, leading to lower drain current and reduced device conductivity.</w:t>
      </w:r>
    </w:p>
    <w:p w14:paraId="57C87AE7" w14:textId="1D6A43F0" w:rsidR="00FC6900" w:rsidRDefault="00E04D21" w:rsidP="00FC6900">
      <w:pPr>
        <w:pStyle w:val="NormalWeb"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4CDDF0F" wp14:editId="39F1327C">
            <wp:extent cx="5595105" cy="3989705"/>
            <wp:effectExtent l="0" t="0" r="5715" b="0"/>
            <wp:docPr id="8148326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073" cy="399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FE28" w14:textId="035ECA1A" w:rsidR="00E04D21" w:rsidRDefault="00E04D21" w:rsidP="00FC6900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 wp14:anchorId="667C02B6" wp14:editId="15ECC2D7">
            <wp:extent cx="5730166" cy="4290646"/>
            <wp:effectExtent l="0" t="0" r="4445" b="0"/>
            <wp:docPr id="154162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21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631" cy="430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DA30" w14:textId="362FF29E" w:rsidR="00E04D21" w:rsidRPr="00E04D21" w:rsidRDefault="00E04D21" w:rsidP="00E04D21">
      <w:pPr>
        <w:pStyle w:val="NormalWeb"/>
        <w:spacing w:line="360" w:lineRule="auto"/>
        <w:jc w:val="both"/>
        <w:rPr>
          <w:b/>
          <w:bCs/>
        </w:rPr>
      </w:pPr>
      <w:r w:rsidRPr="00E04D21">
        <w:rPr>
          <w:b/>
          <w:bCs/>
        </w:rPr>
        <w:lastRenderedPageBreak/>
        <w:t xml:space="preserve">Result Interpretation </w:t>
      </w:r>
    </w:p>
    <w:p w14:paraId="74663FAC" w14:textId="77777777" w:rsidR="00E04D21" w:rsidRPr="00E04D21" w:rsidRDefault="00E04D21" w:rsidP="00E04D21">
      <w:pPr>
        <w:pStyle w:val="NormalWeb"/>
        <w:numPr>
          <w:ilvl w:val="0"/>
          <w:numId w:val="16"/>
        </w:numPr>
        <w:spacing w:line="360" w:lineRule="auto"/>
        <w:jc w:val="both"/>
      </w:pPr>
      <w:r w:rsidRPr="00E04D21">
        <w:t xml:space="preserve">The drain current (Id) increases with increasing drain voltage (V), confirming the normal I–V characteristics of the CNTFET. </w:t>
      </w:r>
    </w:p>
    <w:p w14:paraId="11A59A54" w14:textId="77777777" w:rsidR="00E04D21" w:rsidRPr="00E04D21" w:rsidRDefault="00E04D21" w:rsidP="00E04D21">
      <w:pPr>
        <w:pStyle w:val="NormalWeb"/>
        <w:numPr>
          <w:ilvl w:val="0"/>
          <w:numId w:val="16"/>
        </w:numPr>
        <w:spacing w:line="360" w:lineRule="auto"/>
        <w:jc w:val="both"/>
      </w:pPr>
      <w:r w:rsidRPr="00E04D21">
        <w:t xml:space="preserve">The current rises rapidly at lower voltages and gradually reaches saturation at higher voltages, indicating stable device operation. </w:t>
      </w:r>
    </w:p>
    <w:p w14:paraId="191E5146" w14:textId="3B06A526" w:rsidR="00E04D21" w:rsidRDefault="00E04D21" w:rsidP="00E04D21">
      <w:pPr>
        <w:pStyle w:val="NormalWeb"/>
        <w:numPr>
          <w:ilvl w:val="0"/>
          <w:numId w:val="16"/>
        </w:numPr>
        <w:spacing w:line="360" w:lineRule="auto"/>
        <w:jc w:val="both"/>
      </w:pPr>
      <w:r w:rsidRPr="00E04D21">
        <w:t>With a gate insulator thickness of 15 nm, the CNTFET exhibits controlled carrier transport and maintains steady current, demonstrating effective transistor performance</w:t>
      </w:r>
      <w:r>
        <w:t>.</w:t>
      </w:r>
    </w:p>
    <w:p w14:paraId="676B05E3" w14:textId="0E7F42D9" w:rsidR="00E04D21" w:rsidRPr="00E04D21" w:rsidRDefault="00E04D21" w:rsidP="00E04D21">
      <w:pPr>
        <w:pStyle w:val="NormalWeb"/>
        <w:spacing w:line="360" w:lineRule="auto"/>
        <w:jc w:val="both"/>
        <w:rPr>
          <w:b/>
          <w:bCs/>
        </w:rPr>
      </w:pPr>
      <w:r w:rsidRPr="00E04D21">
        <w:rPr>
          <w:b/>
          <w:bCs/>
        </w:rPr>
        <w:t xml:space="preserve">Conclusion </w:t>
      </w:r>
    </w:p>
    <w:p w14:paraId="0FCDBC7F" w14:textId="77777777" w:rsidR="00E04D21" w:rsidRPr="00E04D21" w:rsidRDefault="00E04D21" w:rsidP="00E04D21">
      <w:pPr>
        <w:pStyle w:val="NormalWeb"/>
        <w:numPr>
          <w:ilvl w:val="0"/>
          <w:numId w:val="17"/>
        </w:numPr>
        <w:spacing w:line="360" w:lineRule="auto"/>
        <w:jc w:val="both"/>
      </w:pPr>
      <w:r w:rsidRPr="00E04D21">
        <w:t xml:space="preserve">The CNTFET simulation successfully obtained the I–V characteristics by varying the gate insulator (oxide) thickness. </w:t>
      </w:r>
    </w:p>
    <w:p w14:paraId="62C4FE3F" w14:textId="77777777" w:rsidR="00E04D21" w:rsidRPr="00E04D21" w:rsidRDefault="00E04D21" w:rsidP="00E04D21">
      <w:pPr>
        <w:pStyle w:val="NormalWeb"/>
        <w:numPr>
          <w:ilvl w:val="0"/>
          <w:numId w:val="17"/>
        </w:numPr>
        <w:spacing w:line="360" w:lineRule="auto"/>
        <w:jc w:val="both"/>
      </w:pPr>
      <w:r w:rsidRPr="00E04D21">
        <w:t xml:space="preserve">The drain current increased with the applied voltage and reached saturation, demonstrating proper CNTFET operation. </w:t>
      </w:r>
    </w:p>
    <w:p w14:paraId="3A5A93E0" w14:textId="77777777" w:rsidR="00E04D21" w:rsidRDefault="00E04D21" w:rsidP="00E04D21">
      <w:pPr>
        <w:pStyle w:val="NormalWeb"/>
        <w:numPr>
          <w:ilvl w:val="0"/>
          <w:numId w:val="17"/>
        </w:numPr>
        <w:spacing w:line="360" w:lineRule="auto"/>
        <w:jc w:val="both"/>
      </w:pPr>
      <w:r w:rsidRPr="00E04D21">
        <w:t xml:space="preserve">The results indicate that oxide thickness influences the electrical performance of the CNTFET, making it an important parameter in optimizing high-speed, low-power </w:t>
      </w:r>
      <w:proofErr w:type="spellStart"/>
      <w:r w:rsidRPr="00E04D21">
        <w:t>nanoelectronic</w:t>
      </w:r>
      <w:proofErr w:type="spellEnd"/>
      <w:r w:rsidRPr="00E04D21">
        <w:t xml:space="preserve"> devices.</w:t>
      </w:r>
    </w:p>
    <w:p w14:paraId="443015BC" w14:textId="3EBDD0C1" w:rsidR="00E04D21" w:rsidRDefault="00E04D21" w:rsidP="00E04D21">
      <w:pPr>
        <w:pStyle w:val="NormalWeb"/>
        <w:spacing w:line="360" w:lineRule="auto"/>
        <w:jc w:val="both"/>
        <w:rPr>
          <w:b/>
          <w:bCs/>
        </w:rPr>
      </w:pPr>
      <w:r w:rsidRPr="00E04D21">
        <w:rPr>
          <w:b/>
          <w:bCs/>
        </w:rPr>
        <w:t>(c) GFET</w:t>
      </w:r>
    </w:p>
    <w:p w14:paraId="1FDB267B" w14:textId="4FA73308" w:rsidR="005B1A75" w:rsidRDefault="005B1A75" w:rsidP="00E04D21">
      <w:pPr>
        <w:pStyle w:val="NormalWeb"/>
        <w:spacing w:line="360" w:lineRule="auto"/>
        <w:jc w:val="both"/>
        <w:rPr>
          <w:b/>
          <w:bCs/>
        </w:rPr>
      </w:pPr>
      <w:r w:rsidRPr="005B1A75">
        <w:rPr>
          <w:b/>
          <w:bCs/>
        </w:rPr>
        <w:t xml:space="preserve">Case Study </w:t>
      </w:r>
      <w:proofErr w:type="gramStart"/>
      <w:r w:rsidRPr="005B1A75">
        <w:rPr>
          <w:b/>
          <w:bCs/>
        </w:rPr>
        <w:t>1:How</w:t>
      </w:r>
      <w:proofErr w:type="gramEnd"/>
      <w:r w:rsidRPr="005B1A75">
        <w:rPr>
          <w:b/>
          <w:bCs/>
        </w:rPr>
        <w:t xml:space="preserve"> does varying the gate voltage (</w:t>
      </w:r>
      <w:proofErr w:type="spellStart"/>
      <w:r w:rsidRPr="005B1A75">
        <w:rPr>
          <w:b/>
          <w:bCs/>
        </w:rPr>
        <w:t>Vgs</w:t>
      </w:r>
      <w:proofErr w:type="spellEnd"/>
      <w:r w:rsidRPr="005B1A75">
        <w:rPr>
          <w:b/>
          <w:bCs/>
        </w:rPr>
        <w:t>) affect the drain current (Ids) in a GFET?</w:t>
      </w:r>
    </w:p>
    <w:p w14:paraId="493D0D9C" w14:textId="5FA0CDDC" w:rsidR="005B1A75" w:rsidRDefault="005B1A75" w:rsidP="00E04D21">
      <w:pPr>
        <w:pStyle w:val="NormalWeb"/>
        <w:spacing w:line="360" w:lineRule="auto"/>
        <w:jc w:val="both"/>
        <w:rPr>
          <w:b/>
          <w:bCs/>
        </w:rPr>
      </w:pPr>
      <w:r w:rsidRPr="005B1A75">
        <w:rPr>
          <w:b/>
          <w:bCs/>
          <w:noProof/>
        </w:rPr>
        <w:drawing>
          <wp:inline distT="0" distB="0" distL="0" distR="0" wp14:anchorId="37066822" wp14:editId="2B7FD2CC">
            <wp:extent cx="5730215" cy="2883877"/>
            <wp:effectExtent l="0" t="0" r="4445" b="0"/>
            <wp:docPr id="189154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2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525" cy="290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4ECA" w14:textId="3F098D25" w:rsidR="00A82283" w:rsidRPr="00A82283" w:rsidRDefault="00A82283" w:rsidP="00A82283">
      <w:pPr>
        <w:pStyle w:val="NormalWeb"/>
        <w:spacing w:line="360" w:lineRule="auto"/>
        <w:jc w:val="both"/>
        <w:rPr>
          <w:b/>
          <w:bCs/>
        </w:rPr>
      </w:pPr>
      <w:r w:rsidRPr="00A82283">
        <w:rPr>
          <w:b/>
          <w:bCs/>
        </w:rPr>
        <w:lastRenderedPageBreak/>
        <w:t xml:space="preserve">Result Interpretation </w:t>
      </w:r>
    </w:p>
    <w:p w14:paraId="2792553B" w14:textId="77777777" w:rsidR="00A82283" w:rsidRPr="00A82283" w:rsidRDefault="00A82283" w:rsidP="00A82283">
      <w:pPr>
        <w:pStyle w:val="NormalWeb"/>
        <w:numPr>
          <w:ilvl w:val="0"/>
          <w:numId w:val="18"/>
        </w:numPr>
        <w:spacing w:line="360" w:lineRule="auto"/>
        <w:jc w:val="both"/>
      </w:pPr>
      <w:r w:rsidRPr="00A82283">
        <w:t>The drain current (Ids) increases as the gate voltage (</w:t>
      </w:r>
      <w:proofErr w:type="spellStart"/>
      <w:r w:rsidRPr="00A82283">
        <w:t>Vgs</w:t>
      </w:r>
      <w:proofErr w:type="spellEnd"/>
      <w:r w:rsidRPr="00A82283">
        <w:t xml:space="preserve">) is increased, indicating improved channel conductivity in the GFET. </w:t>
      </w:r>
    </w:p>
    <w:p w14:paraId="33DC749A" w14:textId="77777777" w:rsidR="00A82283" w:rsidRPr="00A82283" w:rsidRDefault="00A82283" w:rsidP="00A82283">
      <w:pPr>
        <w:pStyle w:val="NormalWeb"/>
        <w:numPr>
          <w:ilvl w:val="0"/>
          <w:numId w:val="18"/>
        </w:numPr>
        <w:spacing w:line="360" w:lineRule="auto"/>
        <w:jc w:val="both"/>
      </w:pPr>
      <w:r w:rsidRPr="00A82283">
        <w:t>The Id–</w:t>
      </w:r>
      <w:proofErr w:type="spellStart"/>
      <w:r w:rsidRPr="00A82283">
        <w:t>Vd</w:t>
      </w:r>
      <w:proofErr w:type="spellEnd"/>
      <w:r w:rsidRPr="00A82283">
        <w:t xml:space="preserve"> characteristics show that higher gate voltage enhances carrier concentration, resulting in increased current flow through the graphene channel. </w:t>
      </w:r>
    </w:p>
    <w:p w14:paraId="2B720C51" w14:textId="77777777" w:rsidR="00A82283" w:rsidRPr="00A82283" w:rsidRDefault="00A82283" w:rsidP="00A82283">
      <w:pPr>
        <w:pStyle w:val="NormalWeb"/>
        <w:numPr>
          <w:ilvl w:val="0"/>
          <w:numId w:val="18"/>
        </w:numPr>
        <w:spacing w:line="360" w:lineRule="auto"/>
        <w:jc w:val="both"/>
      </w:pPr>
      <w:r w:rsidRPr="00A82283">
        <w:t>The simulation confirms that the gate voltage effectively controls the drain current, demonstrating the excellent electrostatic control and high carrier mobility of the GFET.</w:t>
      </w:r>
    </w:p>
    <w:p w14:paraId="76DDEF0B" w14:textId="47A37663" w:rsidR="00A82283" w:rsidRDefault="00A82283" w:rsidP="00E04D21">
      <w:pPr>
        <w:pStyle w:val="NormalWeb"/>
        <w:spacing w:line="360" w:lineRule="auto"/>
        <w:jc w:val="both"/>
        <w:rPr>
          <w:b/>
          <w:bCs/>
        </w:rPr>
      </w:pPr>
      <w:r w:rsidRPr="00A82283">
        <w:rPr>
          <w:b/>
          <w:bCs/>
        </w:rPr>
        <w:t>Case Study 2: What factors determine the maximum drain current (</w:t>
      </w:r>
      <w:proofErr w:type="spellStart"/>
      <w:proofErr w:type="gramStart"/>
      <w:r w:rsidRPr="00A82283">
        <w:rPr>
          <w:b/>
          <w:bCs/>
        </w:rPr>
        <w:t>Ids,max</w:t>
      </w:r>
      <w:proofErr w:type="spellEnd"/>
      <w:r w:rsidRPr="00A82283">
        <w:rPr>
          <w:b/>
          <w:bCs/>
        </w:rPr>
        <w:t>​</w:t>
      </w:r>
      <w:proofErr w:type="gramEnd"/>
      <w:r w:rsidRPr="00A82283">
        <w:rPr>
          <w:b/>
          <w:bCs/>
        </w:rPr>
        <w:t xml:space="preserve"> ) in a Graphene Field Effect Transistor (GFET)?</w:t>
      </w:r>
    </w:p>
    <w:p w14:paraId="403820E2" w14:textId="577927C7" w:rsidR="00581E9A" w:rsidRDefault="00581E9A" w:rsidP="00E04D21">
      <w:pPr>
        <w:pStyle w:val="NormalWeb"/>
        <w:spacing w:line="36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DF7E884" wp14:editId="5AF02B4F">
            <wp:extent cx="5731510" cy="4824730"/>
            <wp:effectExtent l="0" t="0" r="2540" b="0"/>
            <wp:docPr id="197584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45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9C90" w14:textId="77777777" w:rsidR="005B1A75" w:rsidRDefault="005B1A75" w:rsidP="00E04D21">
      <w:pPr>
        <w:pStyle w:val="NormalWeb"/>
        <w:spacing w:line="360" w:lineRule="auto"/>
        <w:jc w:val="both"/>
        <w:rPr>
          <w:b/>
          <w:bCs/>
        </w:rPr>
      </w:pPr>
    </w:p>
    <w:p w14:paraId="014F2DD0" w14:textId="77777777" w:rsidR="00E04D21" w:rsidRPr="00E04D21" w:rsidRDefault="00E04D21" w:rsidP="00E04D21">
      <w:pPr>
        <w:pStyle w:val="NormalWeb"/>
        <w:spacing w:line="360" w:lineRule="auto"/>
        <w:jc w:val="both"/>
        <w:rPr>
          <w:b/>
          <w:bCs/>
        </w:rPr>
      </w:pPr>
    </w:p>
    <w:p w14:paraId="6BDDAF18" w14:textId="6442A573" w:rsidR="00581E9A" w:rsidRPr="00581E9A" w:rsidRDefault="00581E9A" w:rsidP="00581E9A">
      <w:pPr>
        <w:pStyle w:val="NormalWeb"/>
        <w:spacing w:line="360" w:lineRule="auto"/>
        <w:jc w:val="both"/>
        <w:rPr>
          <w:b/>
          <w:bCs/>
        </w:rPr>
      </w:pPr>
      <w:r w:rsidRPr="00581E9A">
        <w:rPr>
          <w:b/>
          <w:bCs/>
        </w:rPr>
        <w:lastRenderedPageBreak/>
        <w:t xml:space="preserve">Result Interpretation </w:t>
      </w:r>
    </w:p>
    <w:p w14:paraId="4F7C1FBE" w14:textId="77777777" w:rsidR="00581E9A" w:rsidRPr="00581E9A" w:rsidRDefault="00581E9A" w:rsidP="00581E9A">
      <w:pPr>
        <w:pStyle w:val="NormalWeb"/>
        <w:numPr>
          <w:ilvl w:val="0"/>
          <w:numId w:val="19"/>
        </w:numPr>
        <w:spacing w:line="360" w:lineRule="auto"/>
        <w:jc w:val="both"/>
      </w:pPr>
      <w:r w:rsidRPr="00581E9A">
        <w:t>The drain current (Id) increases with increasing drain voltage (</w:t>
      </w:r>
      <w:proofErr w:type="spellStart"/>
      <w:r w:rsidRPr="00581E9A">
        <w:t>Vd</w:t>
      </w:r>
      <w:proofErr w:type="spellEnd"/>
      <w:r w:rsidRPr="00581E9A">
        <w:t xml:space="preserve">), demonstrating the normal output characteristics of the GFET. </w:t>
      </w:r>
    </w:p>
    <w:p w14:paraId="67DA8C0B" w14:textId="77777777" w:rsidR="00581E9A" w:rsidRPr="00581E9A" w:rsidRDefault="00581E9A" w:rsidP="00581E9A">
      <w:pPr>
        <w:pStyle w:val="NormalWeb"/>
        <w:numPr>
          <w:ilvl w:val="0"/>
          <w:numId w:val="19"/>
        </w:numPr>
        <w:spacing w:line="360" w:lineRule="auto"/>
        <w:jc w:val="both"/>
      </w:pPr>
      <w:r w:rsidRPr="00581E9A">
        <w:t xml:space="preserve">At a gate voltage of 15 V, the GFET exhibits a higher drain current due to increased carrier concentration in the graphene channel. </w:t>
      </w:r>
    </w:p>
    <w:p w14:paraId="463B81E6" w14:textId="77777777" w:rsidR="00581E9A" w:rsidRPr="00581E9A" w:rsidRDefault="00581E9A" w:rsidP="00581E9A">
      <w:pPr>
        <w:pStyle w:val="NormalWeb"/>
        <w:numPr>
          <w:ilvl w:val="0"/>
          <w:numId w:val="19"/>
        </w:numPr>
        <w:spacing w:line="360" w:lineRule="auto"/>
        <w:jc w:val="both"/>
      </w:pPr>
      <w:r w:rsidRPr="00581E9A">
        <w:t>The drain current increases rapidly at lower drain voltages and gradually approaches saturation at higher voltages, indicating stable device operation and effective gate control.</w:t>
      </w:r>
    </w:p>
    <w:p w14:paraId="09A1393E" w14:textId="46224E5E" w:rsidR="00E04D21" w:rsidRDefault="00581E9A" w:rsidP="00E04D21">
      <w:pPr>
        <w:pStyle w:val="NormalWeb"/>
        <w:spacing w:line="360" w:lineRule="auto"/>
        <w:jc w:val="both"/>
        <w:rPr>
          <w:b/>
          <w:bCs/>
        </w:rPr>
      </w:pPr>
      <w:r w:rsidRPr="00581E9A">
        <w:rPr>
          <w:b/>
          <w:bCs/>
        </w:rPr>
        <w:t xml:space="preserve">Exp. </w:t>
      </w:r>
      <w:r>
        <w:rPr>
          <w:b/>
          <w:bCs/>
        </w:rPr>
        <w:t>9</w:t>
      </w:r>
      <w:r w:rsidRPr="00581E9A">
        <w:rPr>
          <w:b/>
          <w:bCs/>
        </w:rPr>
        <w:t xml:space="preserve">. Simulation of </w:t>
      </w:r>
      <w:proofErr w:type="spellStart"/>
      <w:r w:rsidRPr="00581E9A">
        <w:rPr>
          <w:b/>
          <w:bCs/>
        </w:rPr>
        <w:t>Tunneling</w:t>
      </w:r>
      <w:proofErr w:type="spellEnd"/>
      <w:r w:rsidRPr="00581E9A">
        <w:rPr>
          <w:b/>
          <w:bCs/>
        </w:rPr>
        <w:t xml:space="preserve"> Magnetoresistance (TMR) by Varying Barrier Height using </w:t>
      </w:r>
      <w:proofErr w:type="spellStart"/>
      <w:r w:rsidRPr="00581E9A">
        <w:rPr>
          <w:b/>
          <w:bCs/>
        </w:rPr>
        <w:t>NanoHUB</w:t>
      </w:r>
      <w:proofErr w:type="spellEnd"/>
    </w:p>
    <w:p w14:paraId="7D82F648" w14:textId="34EBF91D" w:rsidR="00E04D21" w:rsidRDefault="00581E9A" w:rsidP="00FC6900">
      <w:pPr>
        <w:pStyle w:val="NormalWeb"/>
        <w:spacing w:line="360" w:lineRule="auto"/>
        <w:jc w:val="both"/>
        <w:rPr>
          <w:b/>
          <w:bCs/>
        </w:rPr>
      </w:pPr>
      <w:r w:rsidRPr="00581E9A">
        <w:rPr>
          <w:b/>
          <w:bCs/>
        </w:rPr>
        <w:t>Case Study 1: Characteristics of TMR with barrier height of 0.85eV</w:t>
      </w:r>
    </w:p>
    <w:p w14:paraId="08FBBE63" w14:textId="34353C90" w:rsidR="00581E9A" w:rsidRPr="00581E9A" w:rsidRDefault="00581E9A" w:rsidP="00FC6900">
      <w:pPr>
        <w:pStyle w:val="NormalWeb"/>
        <w:spacing w:line="360" w:lineRule="auto"/>
        <w:jc w:val="both"/>
        <w:rPr>
          <w:b/>
          <w:bCs/>
        </w:rPr>
      </w:pPr>
      <w:r w:rsidRPr="00581E9A">
        <w:rPr>
          <w:b/>
          <w:bCs/>
          <w:noProof/>
        </w:rPr>
        <w:drawing>
          <wp:inline distT="0" distB="0" distL="0" distR="0" wp14:anchorId="79613F05" wp14:editId="26F5DFCF">
            <wp:extent cx="5731510" cy="4188336"/>
            <wp:effectExtent l="0" t="0" r="2540" b="3175"/>
            <wp:docPr id="149424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49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5093" cy="419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12B5" w14:textId="77777777" w:rsidR="00FC6900" w:rsidRPr="00130A60" w:rsidRDefault="00FC6900" w:rsidP="00130A60">
      <w:pPr>
        <w:pStyle w:val="NormalWeb"/>
        <w:spacing w:line="360" w:lineRule="auto"/>
        <w:jc w:val="both"/>
        <w:rPr>
          <w:b/>
          <w:bCs/>
        </w:rPr>
      </w:pPr>
    </w:p>
    <w:p w14:paraId="4941BA77" w14:textId="77777777" w:rsidR="00886EC3" w:rsidRPr="00130A60" w:rsidRDefault="00886EC3" w:rsidP="00130A60">
      <w:pPr>
        <w:pStyle w:val="NormalWeb"/>
        <w:spacing w:line="360" w:lineRule="auto"/>
        <w:jc w:val="both"/>
      </w:pPr>
    </w:p>
    <w:p w14:paraId="1AEF5998" w14:textId="7CC2CC38" w:rsidR="002F5B1D" w:rsidRDefault="00581E9A" w:rsidP="00130A60">
      <w:pPr>
        <w:pStyle w:val="NormalWeb"/>
        <w:spacing w:line="360" w:lineRule="auto"/>
        <w:ind w:left="360"/>
        <w:jc w:val="both"/>
      </w:pPr>
      <w:r w:rsidRPr="00581E9A">
        <w:lastRenderedPageBreak/>
        <w:t>Case Study 2: Characteristics of TMR with barrier height of 1.0eV</w:t>
      </w:r>
    </w:p>
    <w:p w14:paraId="68BBC5D1" w14:textId="77CBE9EA" w:rsidR="00581E9A" w:rsidRDefault="00581E9A" w:rsidP="00130A60">
      <w:pPr>
        <w:pStyle w:val="NormalWeb"/>
        <w:spacing w:line="360" w:lineRule="auto"/>
        <w:ind w:left="360"/>
        <w:jc w:val="both"/>
      </w:pPr>
      <w:r w:rsidRPr="00581E9A">
        <w:rPr>
          <w:noProof/>
        </w:rPr>
        <w:drawing>
          <wp:inline distT="0" distB="0" distL="0" distR="0" wp14:anchorId="64D9B53C" wp14:editId="3A17BAB7">
            <wp:extent cx="5730434" cy="2672862"/>
            <wp:effectExtent l="0" t="0" r="3810" b="0"/>
            <wp:docPr id="9762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8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8598" cy="268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73B5" w14:textId="4906C72B" w:rsidR="00581E9A" w:rsidRPr="00581E9A" w:rsidRDefault="00581E9A" w:rsidP="00581E9A">
      <w:pPr>
        <w:pStyle w:val="NormalWeb"/>
        <w:spacing w:line="360" w:lineRule="auto"/>
        <w:ind w:left="360"/>
        <w:jc w:val="both"/>
        <w:rPr>
          <w:b/>
          <w:bCs/>
        </w:rPr>
      </w:pPr>
      <w:r w:rsidRPr="00581E9A">
        <w:rPr>
          <w:b/>
          <w:bCs/>
        </w:rPr>
        <w:t xml:space="preserve">Result Interpretation </w:t>
      </w:r>
    </w:p>
    <w:p w14:paraId="79B39BF3" w14:textId="77777777" w:rsidR="00581E9A" w:rsidRPr="00581E9A" w:rsidRDefault="00581E9A" w:rsidP="00581E9A">
      <w:pPr>
        <w:pStyle w:val="NormalWeb"/>
        <w:numPr>
          <w:ilvl w:val="0"/>
          <w:numId w:val="20"/>
        </w:numPr>
        <w:spacing w:line="360" w:lineRule="auto"/>
        <w:jc w:val="both"/>
      </w:pPr>
      <w:r w:rsidRPr="00581E9A">
        <w:t xml:space="preserve">The TMR characteristic exhibits a maximum value near 0 V bias and decreases gradually as the applied voltage increases in either direction. </w:t>
      </w:r>
    </w:p>
    <w:p w14:paraId="7A72B821" w14:textId="77777777" w:rsidR="00581E9A" w:rsidRPr="00581E9A" w:rsidRDefault="00581E9A" w:rsidP="00581E9A">
      <w:pPr>
        <w:pStyle w:val="NormalWeb"/>
        <w:numPr>
          <w:ilvl w:val="0"/>
          <w:numId w:val="20"/>
        </w:numPr>
        <w:spacing w:line="360" w:lineRule="auto"/>
        <w:jc w:val="both"/>
      </w:pPr>
      <w:r w:rsidRPr="00581E9A">
        <w:t xml:space="preserve">Increasing the barrier height from 0.85 eV to 1.0 eV modifies the </w:t>
      </w:r>
      <w:proofErr w:type="spellStart"/>
      <w:r w:rsidRPr="00581E9A">
        <w:t>tunneling</w:t>
      </w:r>
      <w:proofErr w:type="spellEnd"/>
      <w:r w:rsidRPr="00581E9A">
        <w:t xml:space="preserve"> behaviour and influences the magnitude of the TMR response. </w:t>
      </w:r>
    </w:p>
    <w:p w14:paraId="1E0EB7C3" w14:textId="77777777" w:rsidR="00581E9A" w:rsidRDefault="00581E9A" w:rsidP="00581E9A">
      <w:pPr>
        <w:pStyle w:val="NormalWeb"/>
        <w:numPr>
          <w:ilvl w:val="0"/>
          <w:numId w:val="20"/>
        </w:numPr>
        <w:spacing w:line="360" w:lineRule="auto"/>
        <w:jc w:val="both"/>
      </w:pPr>
      <w:r w:rsidRPr="00581E9A">
        <w:t xml:space="preserve">The simulation confirms that barrier height is a critical parameter affecting electron </w:t>
      </w:r>
      <w:proofErr w:type="spellStart"/>
      <w:r w:rsidRPr="00581E9A">
        <w:t>tunneling</w:t>
      </w:r>
      <w:proofErr w:type="spellEnd"/>
      <w:r w:rsidRPr="00581E9A">
        <w:t xml:space="preserve"> and the overall performance of the Magnetic Tunnel Junction (MTJ).</w:t>
      </w:r>
    </w:p>
    <w:p w14:paraId="78AFCF61" w14:textId="03047DD0" w:rsidR="00581E9A" w:rsidRDefault="00581E9A" w:rsidP="00581E9A">
      <w:pPr>
        <w:pStyle w:val="NormalWeb"/>
        <w:spacing w:line="360" w:lineRule="auto"/>
        <w:jc w:val="both"/>
        <w:rPr>
          <w:b/>
          <w:bCs/>
        </w:rPr>
      </w:pPr>
      <w:r w:rsidRPr="00581E9A">
        <w:rPr>
          <w:b/>
          <w:bCs/>
        </w:rPr>
        <w:t>Exp. 1. Simulation of scattering and absorption of Multi-layer Sphere and Core-Shell Nanoparticle using Mie-Plot tool</w:t>
      </w:r>
    </w:p>
    <w:p w14:paraId="4EF525BD" w14:textId="2D889009" w:rsidR="009418B7" w:rsidRDefault="009418B7" w:rsidP="00581E9A">
      <w:pPr>
        <w:pStyle w:val="NormalWeb"/>
        <w:spacing w:line="360" w:lineRule="auto"/>
        <w:jc w:val="both"/>
        <w:rPr>
          <w:b/>
          <w:bCs/>
        </w:rPr>
      </w:pPr>
      <w:r w:rsidRPr="009418B7">
        <w:rPr>
          <w:b/>
          <w:bCs/>
        </w:rPr>
        <w:t>Case Study 1: Scattering and absorption spectra for a single-layer sphere (core only)</w:t>
      </w:r>
    </w:p>
    <w:p w14:paraId="1AD79CBF" w14:textId="2CDBD9C0" w:rsidR="00581E9A" w:rsidRDefault="009418B7" w:rsidP="009418B7">
      <w:pPr>
        <w:pStyle w:val="NormalWeb"/>
        <w:spacing w:line="360" w:lineRule="auto"/>
        <w:jc w:val="both"/>
        <w:rPr>
          <w:b/>
          <w:bCs/>
        </w:rPr>
      </w:pPr>
      <w:r w:rsidRPr="009418B7">
        <w:rPr>
          <w:b/>
          <w:bCs/>
          <w:noProof/>
        </w:rPr>
        <w:drawing>
          <wp:inline distT="0" distB="0" distL="0" distR="0" wp14:anchorId="747FD801" wp14:editId="76CCE0E0">
            <wp:extent cx="5728340" cy="1919235"/>
            <wp:effectExtent l="0" t="0" r="5715" b="5080"/>
            <wp:docPr id="41359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51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0033" cy="193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D4B8" w14:textId="5898A196" w:rsidR="009418B7" w:rsidRDefault="009418B7" w:rsidP="009418B7">
      <w:pPr>
        <w:pStyle w:val="NormalWeb"/>
        <w:spacing w:line="360" w:lineRule="auto"/>
        <w:jc w:val="both"/>
        <w:rPr>
          <w:b/>
          <w:bCs/>
        </w:rPr>
      </w:pPr>
      <w:r w:rsidRPr="009418B7">
        <w:rPr>
          <w:b/>
          <w:bCs/>
          <w:noProof/>
        </w:rPr>
        <w:lastRenderedPageBreak/>
        <w:drawing>
          <wp:inline distT="0" distB="0" distL="0" distR="0" wp14:anchorId="727BE6E8" wp14:editId="1E211229">
            <wp:extent cx="5731510" cy="4391025"/>
            <wp:effectExtent l="0" t="0" r="2540" b="9525"/>
            <wp:docPr id="208122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23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A40C" w14:textId="1755A68B" w:rsidR="009418B7" w:rsidRDefault="009418B7" w:rsidP="009418B7">
      <w:pPr>
        <w:pStyle w:val="NormalWeb"/>
        <w:spacing w:line="360" w:lineRule="auto"/>
        <w:jc w:val="both"/>
        <w:rPr>
          <w:b/>
          <w:bCs/>
        </w:rPr>
      </w:pPr>
      <w:r w:rsidRPr="009418B7">
        <w:rPr>
          <w:b/>
          <w:bCs/>
        </w:rPr>
        <w:t>Case Study 2: Simulate the optical response of a gold (Au) nanoparticle of 50 nm diameter in water medium.</w:t>
      </w:r>
    </w:p>
    <w:p w14:paraId="34138086" w14:textId="7F3CB7D8" w:rsidR="009418B7" w:rsidRPr="009418B7" w:rsidRDefault="009418B7" w:rsidP="009418B7">
      <w:pPr>
        <w:pStyle w:val="NormalWeb"/>
        <w:spacing w:line="360" w:lineRule="auto"/>
        <w:jc w:val="both"/>
        <w:rPr>
          <w:b/>
          <w:bCs/>
        </w:rPr>
      </w:pPr>
      <w:r w:rsidRPr="009418B7">
        <w:rPr>
          <w:b/>
          <w:bCs/>
          <w:noProof/>
        </w:rPr>
        <w:drawing>
          <wp:inline distT="0" distB="0" distL="0" distR="0" wp14:anchorId="5765CD29" wp14:editId="2A88D232">
            <wp:extent cx="5731510" cy="3135086"/>
            <wp:effectExtent l="0" t="0" r="2540" b="8255"/>
            <wp:docPr id="147274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0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638" cy="313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9B28" w14:textId="6666E3E4" w:rsidR="009418B7" w:rsidRPr="009418B7" w:rsidRDefault="009418B7" w:rsidP="009418B7">
      <w:pPr>
        <w:pStyle w:val="NormalWeb"/>
        <w:spacing w:line="360" w:lineRule="auto"/>
        <w:ind w:left="360"/>
        <w:jc w:val="both"/>
        <w:rPr>
          <w:b/>
          <w:bCs/>
        </w:rPr>
      </w:pPr>
      <w:r w:rsidRPr="009418B7">
        <w:rPr>
          <w:b/>
          <w:bCs/>
        </w:rPr>
        <w:lastRenderedPageBreak/>
        <w:t>Case Study 3: Simulate a core–shell nanoparticle with a gold core (30 nm) and silica shell (10 nm).</w:t>
      </w:r>
    </w:p>
    <w:p w14:paraId="156E7012" w14:textId="03C68AF5" w:rsidR="002F5B1D" w:rsidRDefault="009418B7" w:rsidP="002F5B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8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CD9A30" wp14:editId="13D17AF6">
            <wp:extent cx="5731510" cy="4150995"/>
            <wp:effectExtent l="0" t="0" r="2540" b="1905"/>
            <wp:docPr id="214147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725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6736" w14:textId="5CFF5829" w:rsidR="009418B7" w:rsidRPr="009418B7" w:rsidRDefault="009418B7" w:rsidP="00941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8B7">
        <w:rPr>
          <w:rFonts w:ascii="Times New Roman" w:hAnsi="Times New Roman" w:cs="Times New Roman"/>
          <w:b/>
          <w:bCs/>
          <w:sz w:val="28"/>
          <w:szCs w:val="28"/>
        </w:rPr>
        <w:t xml:space="preserve">Result </w:t>
      </w:r>
      <w:proofErr w:type="gramStart"/>
      <w:r w:rsidRPr="009418B7">
        <w:rPr>
          <w:rFonts w:ascii="Times New Roman" w:hAnsi="Times New Roman" w:cs="Times New Roman"/>
          <w:b/>
          <w:bCs/>
          <w:sz w:val="28"/>
          <w:szCs w:val="28"/>
        </w:rPr>
        <w:t xml:space="preserve">Interpretation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3B48672C" w14:textId="77777777" w:rsidR="009418B7" w:rsidRPr="009418B7" w:rsidRDefault="009418B7" w:rsidP="009418B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8B7">
        <w:rPr>
          <w:rFonts w:ascii="Times New Roman" w:hAnsi="Times New Roman" w:cs="Times New Roman"/>
          <w:sz w:val="28"/>
          <w:szCs w:val="28"/>
        </w:rPr>
        <w:t xml:space="preserve">The extinction, absorption, and scattering cross-sections vary with wavelength, indicating the optical response of the single-layer nanoparticle. </w:t>
      </w:r>
    </w:p>
    <w:p w14:paraId="63AAD3AE" w14:textId="77777777" w:rsidR="009418B7" w:rsidRPr="009418B7" w:rsidRDefault="009418B7" w:rsidP="009418B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8B7">
        <w:rPr>
          <w:rFonts w:ascii="Times New Roman" w:hAnsi="Times New Roman" w:cs="Times New Roman"/>
          <w:sz w:val="28"/>
          <w:szCs w:val="28"/>
        </w:rPr>
        <w:t xml:space="preserve">A distinct peak is observed at the resonance wavelength, where the nanoparticle exhibits maximum light absorption and scattering. </w:t>
      </w:r>
    </w:p>
    <w:p w14:paraId="2B87AC1A" w14:textId="77777777" w:rsidR="009418B7" w:rsidRPr="009418B7" w:rsidRDefault="009418B7" w:rsidP="009418B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8B7">
        <w:rPr>
          <w:rFonts w:ascii="Times New Roman" w:hAnsi="Times New Roman" w:cs="Times New Roman"/>
          <w:sz w:val="28"/>
          <w:szCs w:val="28"/>
        </w:rPr>
        <w:t>The simulation confirms that the optical characteristics of the nanoparticle depend on its material properties and particle size, making it suitable for plasmonic and sensing applications.</w:t>
      </w:r>
    </w:p>
    <w:p w14:paraId="79D63175" w14:textId="77777777" w:rsidR="009418B7" w:rsidRPr="002F5B1D" w:rsidRDefault="009418B7" w:rsidP="002F5B1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418B7" w:rsidRPr="002F5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5A0"/>
    <w:multiLevelType w:val="multilevel"/>
    <w:tmpl w:val="A74E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92C01"/>
    <w:multiLevelType w:val="hybridMultilevel"/>
    <w:tmpl w:val="76D429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E2FCD"/>
    <w:multiLevelType w:val="multilevel"/>
    <w:tmpl w:val="19ECD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73B26"/>
    <w:multiLevelType w:val="multilevel"/>
    <w:tmpl w:val="AD1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71744"/>
    <w:multiLevelType w:val="multilevel"/>
    <w:tmpl w:val="6752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6702E"/>
    <w:multiLevelType w:val="multilevel"/>
    <w:tmpl w:val="E2C0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E1101"/>
    <w:multiLevelType w:val="multilevel"/>
    <w:tmpl w:val="0E5C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E574B9"/>
    <w:multiLevelType w:val="multilevel"/>
    <w:tmpl w:val="5C50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47E86"/>
    <w:multiLevelType w:val="multilevel"/>
    <w:tmpl w:val="676C2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6E4876"/>
    <w:multiLevelType w:val="multilevel"/>
    <w:tmpl w:val="278E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1834A9"/>
    <w:multiLevelType w:val="multilevel"/>
    <w:tmpl w:val="E6B2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65118B"/>
    <w:multiLevelType w:val="multilevel"/>
    <w:tmpl w:val="6F76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731AB5"/>
    <w:multiLevelType w:val="multilevel"/>
    <w:tmpl w:val="6B3C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C56C5B"/>
    <w:multiLevelType w:val="multilevel"/>
    <w:tmpl w:val="57D8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E66414"/>
    <w:multiLevelType w:val="multilevel"/>
    <w:tmpl w:val="27101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1E0732"/>
    <w:multiLevelType w:val="multilevel"/>
    <w:tmpl w:val="7D9A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480AA8"/>
    <w:multiLevelType w:val="multilevel"/>
    <w:tmpl w:val="FD94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0F2039"/>
    <w:multiLevelType w:val="multilevel"/>
    <w:tmpl w:val="DAA8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A17626"/>
    <w:multiLevelType w:val="multilevel"/>
    <w:tmpl w:val="A952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490CB4"/>
    <w:multiLevelType w:val="multilevel"/>
    <w:tmpl w:val="EDD47120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0" w15:restartNumberingAfterBreak="0">
    <w:nsid w:val="7F0C43B0"/>
    <w:multiLevelType w:val="multilevel"/>
    <w:tmpl w:val="167A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27334">
    <w:abstractNumId w:val="5"/>
  </w:num>
  <w:num w:numId="2" w16cid:durableId="2011179426">
    <w:abstractNumId w:val="8"/>
  </w:num>
  <w:num w:numId="3" w16cid:durableId="1130561713">
    <w:abstractNumId w:val="3"/>
  </w:num>
  <w:num w:numId="4" w16cid:durableId="1425497052">
    <w:abstractNumId w:val="6"/>
  </w:num>
  <w:num w:numId="5" w16cid:durableId="1775859684">
    <w:abstractNumId w:val="15"/>
  </w:num>
  <w:num w:numId="6" w16cid:durableId="1464302374">
    <w:abstractNumId w:val="13"/>
  </w:num>
  <w:num w:numId="7" w16cid:durableId="1099519199">
    <w:abstractNumId w:val="0"/>
  </w:num>
  <w:num w:numId="8" w16cid:durableId="532814179">
    <w:abstractNumId w:val="4"/>
  </w:num>
  <w:num w:numId="9" w16cid:durableId="1628048007">
    <w:abstractNumId w:val="14"/>
  </w:num>
  <w:num w:numId="10" w16cid:durableId="1515631">
    <w:abstractNumId w:val="11"/>
  </w:num>
  <w:num w:numId="11" w16cid:durableId="2077429455">
    <w:abstractNumId w:val="1"/>
  </w:num>
  <w:num w:numId="12" w16cid:durableId="35397984">
    <w:abstractNumId w:val="2"/>
  </w:num>
  <w:num w:numId="13" w16cid:durableId="1335182135">
    <w:abstractNumId w:val="18"/>
  </w:num>
  <w:num w:numId="14" w16cid:durableId="1113865196">
    <w:abstractNumId w:val="10"/>
  </w:num>
  <w:num w:numId="15" w16cid:durableId="635993097">
    <w:abstractNumId w:val="19"/>
  </w:num>
  <w:num w:numId="16" w16cid:durableId="2132505437">
    <w:abstractNumId w:val="17"/>
  </w:num>
  <w:num w:numId="17" w16cid:durableId="1580404055">
    <w:abstractNumId w:val="12"/>
  </w:num>
  <w:num w:numId="18" w16cid:durableId="920523462">
    <w:abstractNumId w:val="9"/>
  </w:num>
  <w:num w:numId="19" w16cid:durableId="1929852217">
    <w:abstractNumId w:val="16"/>
  </w:num>
  <w:num w:numId="20" w16cid:durableId="1542086520">
    <w:abstractNumId w:val="7"/>
  </w:num>
  <w:num w:numId="21" w16cid:durableId="6623936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20"/>
    <w:rsid w:val="000F10D8"/>
    <w:rsid w:val="00130A60"/>
    <w:rsid w:val="001747B8"/>
    <w:rsid w:val="00227B48"/>
    <w:rsid w:val="002F5B1D"/>
    <w:rsid w:val="00397988"/>
    <w:rsid w:val="00427D70"/>
    <w:rsid w:val="0054515F"/>
    <w:rsid w:val="0056270A"/>
    <w:rsid w:val="00581E9A"/>
    <w:rsid w:val="005B1A75"/>
    <w:rsid w:val="006A6564"/>
    <w:rsid w:val="006D6AA9"/>
    <w:rsid w:val="006F47E6"/>
    <w:rsid w:val="00886EC3"/>
    <w:rsid w:val="008A5A1F"/>
    <w:rsid w:val="008B3FAD"/>
    <w:rsid w:val="009418B7"/>
    <w:rsid w:val="009966CD"/>
    <w:rsid w:val="00A82283"/>
    <w:rsid w:val="00AD2CE8"/>
    <w:rsid w:val="00B40F75"/>
    <w:rsid w:val="00B54396"/>
    <w:rsid w:val="00B84016"/>
    <w:rsid w:val="00BF43AC"/>
    <w:rsid w:val="00C14451"/>
    <w:rsid w:val="00C365CD"/>
    <w:rsid w:val="00CE1869"/>
    <w:rsid w:val="00DD5920"/>
    <w:rsid w:val="00DF35D3"/>
    <w:rsid w:val="00E04D21"/>
    <w:rsid w:val="00FC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9EAB"/>
  <w15:chartTrackingRefBased/>
  <w15:docId w15:val="{39D94096-8B63-4052-B15B-E6F44CEAA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920"/>
  </w:style>
  <w:style w:type="paragraph" w:styleId="Heading1">
    <w:name w:val="heading 1"/>
    <w:basedOn w:val="Normal"/>
    <w:next w:val="Normal"/>
    <w:link w:val="Heading1Char"/>
    <w:uiPriority w:val="9"/>
    <w:qFormat/>
    <w:rsid w:val="00DD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2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66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6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Natarajan</dc:creator>
  <cp:keywords/>
  <dc:description/>
  <cp:lastModifiedBy>Tharun kumar sanampudi</cp:lastModifiedBy>
  <cp:revision>2</cp:revision>
  <dcterms:created xsi:type="dcterms:W3CDTF">2026-08-12T17:01:00Z</dcterms:created>
  <dcterms:modified xsi:type="dcterms:W3CDTF">2026-08-12T17:01:00Z</dcterms:modified>
</cp:coreProperties>
</file>