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Molecular Report Extractor</w:t>
      </w:r>
    </w:p>
    <w:p>
      <w:r>
        <w:t xml:space="preserve">Use </w:t>
      </w:r>
      <w:r>
        <w:t>Skills_2_extraction_rules_all_reports.docx</w:t>
      </w:r>
      <w:r>
        <w:t xml:space="preserve"> and the </w:t>
      </w:r>
      <w:r>
        <w:rPr>
          <w:b/>
        </w:rPr>
        <w:t>MOLEC</w:t>
      </w:r>
      <w:r>
        <w:t xml:space="preserve"> source ID. Inspect only the assigned molecular report. Return the common findings table, starting at </w:t>
      </w:r>
      <w:r>
        <w:t>MOLEC-001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Field / population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What to capture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Assay and scope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Assay name, tested scope, method, overall result, and stated coverage or sensitivity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Variant identity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Gene, variant description, transcript, and variant type exactly as provided.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Variant measurements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Allele fraction, ratio, copy number, or other measurement, preserving its stated units and method.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Source annotations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Reported tier, significance, and other annotations with their exact supporting wording.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Reported implications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 xml:space="preserve">Explicit diagnostic, prognostic, or predictive comments labeled </w:t>
            </w:r>
            <w:r>
              <w:rPr>
                <w:b/>
                <w:sz w:val="21"/>
              </w:rPr>
              <w:t>Source-reported interpretation</w:t>
            </w:r>
            <w:r>
              <w:rPr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Limitations and status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Pending results, unperformed components, technical limitations, and uncertain findings.</w:t>
            </w:r>
          </w:p>
        </w:tc>
      </w:tr>
    </w:tbl>
    <w:p>
      <w:pPr>
        <w:spacing w:after="40"/>
      </w:pPr>
    </w:p>
    <w:p>
      <w:r>
        <w:t>Give each actual reported variant or gene-level result a group label, such as “Variant group 1,” and repeat that label across its rows. Keep findings from different variants separate. Preserve exact gene symbols and variant/transcript strings; do not reconstruct a missing expression or infer clonality, inheritance, or biological significance.</w:t>
      </w:r>
    </w:p>
    <w:p>
      <w:r>
        <w:t xml:space="preserve">For an actual reported variant, an absent attribute may be marked </w:t>
      </w:r>
      <w:r>
        <w:rPr>
          <w:b/>
        </w:rPr>
        <w:t>Not reported</w:t>
      </w:r>
      <w:r>
        <w:t xml:space="preserve"> within its group. Do not create fictional variants or gene-specific negative results to populate the table. An unmentioned gene provides no evidence of a negative test.</w:t>
      </w:r>
    </w:p>
    <w:p>
      <w:r>
        <w:t>Preserve ratios and allele fractions as reported rather than converting between them. Extract classification, risk, or treatment-related wording only when this source states it, with clear attribution. Any independently derived implication requires later integration with supporting reference material. Include the shared patient/specimen identity, accessions, performing laboratory, dates, and limitations.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Molecular Report Extractor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