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Morphology Report Extractor</w:t>
      </w:r>
    </w:p>
    <w:p>
      <w:r>
        <w:t xml:space="preserve">Use </w:t>
      </w:r>
      <w:r>
        <w:t>WORKFLOW_2_extraction_rules_all_reports.docx</w:t>
      </w:r>
      <w:r>
        <w:t xml:space="preserve"> and the </w:t>
      </w:r>
      <w:r>
        <w:rPr>
          <w:b/>
        </w:rPr>
        <w:t>MORPH</w:t>
      </w:r>
      <w:r>
        <w:t xml:space="preserve"> source ID. Inspect only the assigned morphology report. Return the common findings table, starting at </w:t>
      </w:r>
      <w:r>
        <w:t>MORPH-001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Specimen and adequacy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Preparation, specimen type, adequacy, quality, and stated sampling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Cellularity and architecture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The report's descriptive findings, ranges, and qualifications.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Blast measurements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Each stated percentage or count, its preparation, counting method, units, and denominator.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Other differential populations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Separately reported promonocytes, monocytes, and other differential entries, retaining their source labels.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Morphology and lineage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Cytologic features and the source's lineage assessment, including hedges or deferred conclusions.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Immunohistochemistry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Named markers, reported results, intensity or distribution, and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Interpretation and limitations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Clearly attributed source-reported interpretation, uncertainty, pending studies, and limitations.</w:t>
            </w:r>
          </w:p>
        </w:tc>
      </w:tr>
    </w:tbl>
    <w:p>
      <w:pPr>
        <w:spacing w:after="40"/>
      </w:pPr>
    </w:p>
    <w:p>
      <w:r>
        <w:t>Use distinct rows for measurements from different preparations or methods. Keep each reported population separate even when adding numbers would produce an appealing summary. Do not create a combined count, substitute another report's percentage, or infer a denominator from customary practice.</w:t>
      </w:r>
    </w:p>
    <w:p>
      <w:r>
        <w:t>Preserve words such as “possible,” “probable,” and “pending” where the source uses them. A source statement that awaits another study remains unresolved within this extraction pass.</w:t>
      </w:r>
    </w:p>
    <w:p>
      <w:r>
        <w:t xml:space="preserve">Include the shared identity, accession, laboratory, and date fields. Mark absent checklist information </w:t>
      </w:r>
      <w:r>
        <w:rPr>
          <w:b/>
        </w:rPr>
        <w:t>Not reported</w:t>
      </w:r>
      <w:r>
        <w:t xml:space="preserve">. Record a stated diagnosis as </w:t>
      </w:r>
      <w:r>
        <w:rPr>
          <w:b/>
        </w:rPr>
        <w:t>Source-reported interpretation</w:t>
      </w:r>
      <w:r>
        <w:t>, with its exact quotation and location. Apply no disease thresholds, classification rules, or external interpretations during this pass.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Morphology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