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Cytogenetics and FISH Report Extractor</w:t>
      </w:r>
    </w:p>
    <w:p>
      <w:r>
        <w:t xml:space="preserve">Use </w:t>
      </w:r>
      <w:r>
        <w:t>WORKFLOW_2_extraction_rules_all_reports.docx</w:t>
      </w:r>
      <w:r>
        <w:t xml:space="preserve"> and the </w:t>
      </w:r>
      <w:r>
        <w:rPr>
          <w:b/>
        </w:rPr>
        <w:t>CYTO</w:t>
      </w:r>
      <w:r>
        <w:t xml:space="preserve"> source ID. Inspect only the assigned cytogenetics/FISH report. Return the common findings table, starting at </w:t>
      </w:r>
      <w:r>
        <w:t>CYTO-001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6984"/>
      </w:tblGrid>
      <w:tr>
        <w:trPr>
          <w:tblHeader/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Field / population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What to capture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Karyotype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The exact reported notation, punctuation, clone counts, and qualifications.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Analysis details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Metaphase counts, banding resolution, preparation, and specimen adequacy when reported.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FISH targets and results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Each named target/probe and its corresponding result, cell count, percentage, or cutoff as stated.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Other reported assays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Any explicitly included microarray or other cytogenetic result, with its own method and scope.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Assay scope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Tested targets, stated coverage, detection limitations, and unsuccessful or pending analyses.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Interpretation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The source author's interpretation, clearly attributed and quoted.</w:t>
            </w:r>
          </w:p>
        </w:tc>
      </w:tr>
    </w:tbl>
    <w:p>
      <w:pPr>
        <w:spacing w:after="40"/>
      </w:pPr>
    </w:p>
    <w:p>
      <w:r>
        <w:t>Use a consistent test group label to link a FISH target with its result and measurement rows. Preserve an aggregate panel result as an aggregate when individual probe results are not supplied. Do not generate per-probe results or add targets from knowledge of a customary panel.</w:t>
      </w:r>
    </w:p>
    <w:p>
      <w:r>
        <w:t>Restrict a negative result to the assessment or tested scope described in its source. Do not expand a reported normal or negative finding into an exclusion of untested abnormalities. Keep those source limitations visible for integration.</w:t>
      </w:r>
    </w:p>
    <w:p>
      <w:r>
        <w:t xml:space="preserve">Include the shared identity, specimen, accession, laboratory, and date fields. Mark missing checklist information </w:t>
      </w:r>
      <w:r>
        <w:rPr>
          <w:b/>
        </w:rPr>
        <w:t>Not reported</w:t>
      </w:r>
      <w:r>
        <w:t xml:space="preserve"> and explicitly unperformed studies </w:t>
      </w:r>
      <w:r>
        <w:rPr>
          <w:b/>
        </w:rPr>
        <w:t>Not performed</w:t>
      </w:r>
      <w:r>
        <w:t>. Retain exact quotations and locations for every supported result. Do not derive a disease category or classification rule during this pass.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Arial" w:hAnsi="Arial" w:eastAsia="Arial" w:cs="Arial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/>
      <w:outlineLvl w:val="0"/>
    </w:pPr>
    <w:rPr>
      <w:rFonts w:ascii="Arial" w:hAnsi="Arial" w:eastAsia="Arial" w:cs="Arial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/>
      <w:outlineLvl w:val="1"/>
    </w:pPr>
    <w:rPr>
      <w:rFonts w:ascii="Arial" w:hAnsi="Arial" w:eastAsia="Arial" w:cs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/>
      <w:outlineLvl w:val="2"/>
    </w:pPr>
    <w:rPr>
      <w:rFonts w:ascii="Arial" w:hAnsi="Arial" w:eastAsia="Arial" w:cs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40" w:lineRule="auto"/>
      <w:contextualSpacing/>
    </w:pPr>
    <w:rPr>
      <w:rFonts w:ascii="Arial" w:hAnsi="Arial" w:eastAsia="Arial" w:cs="Arial"/>
      <w:b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="Arial" w:hAnsi="Arial" w:eastAsia="Arial" w:cs="Arial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Cytogenetics and FISH Report Extractor</dc:title>
  <dc:subject>Claude Project reporting workflow teaching materials</dc:subject>
  <dc:creator>AC3 Integrated Reporting Demo</dc:creator>
  <cp:keywords>AC3, Claude Projects, synthetic reporting demonstration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