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Morphology Report Extractor</w:t>
      </w:r>
    </w:p>
    <w:p>
      <w:r>
        <w:t xml:space="preserve">Use </w:t>
      </w:r>
      <w:r>
        <w:t>extractor_common.docx</w:t>
      </w:r>
      <w:r>
        <w:t xml:space="preserve"> and the </w:t>
      </w:r>
      <w:r>
        <w:rPr>
          <w:b/>
        </w:rPr>
        <w:t>MORPH</w:t>
      </w:r>
      <w:r>
        <w:t xml:space="preserve"> source ID. Inspect only the assigned morphology report. Return the common findings table, starting at </w:t>
      </w:r>
      <w:r>
        <w:t>MORPH-001</w:t>
      </w:r>
      <w:r>
        <w:t>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240"/>
        <w:gridCol w:w="6984"/>
      </w:tblGrid>
      <w:tr>
        <w:trPr>
          <w:tblHeader/>
          <w:cantSplit/>
        </w:trPr>
        <w:tc>
          <w:tcPr>
            <w:tcW w:type="dxa" w:w="324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DEEAF6"/>
          </w:tcPr>
          <w:p>
            <w:pPr>
              <w:spacing w:after="40" w:before="40" w:line="252" w:lineRule="auto"/>
            </w:pPr>
            <w:r>
              <w:rPr>
                <w:b/>
                <w:sz w:val="21"/>
              </w:rPr>
              <w:t>Field / population</w:t>
            </w:r>
          </w:p>
        </w:tc>
        <w:tc>
          <w:tcPr>
            <w:tcW w:type="dxa" w:w="698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DEEAF6"/>
          </w:tcPr>
          <w:p>
            <w:pPr>
              <w:spacing w:after="40" w:before="40" w:line="252" w:lineRule="auto"/>
            </w:pPr>
            <w:r>
              <w:rPr>
                <w:b/>
                <w:sz w:val="21"/>
              </w:rPr>
              <w:t>What to capture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before="40" w:line="252" w:lineRule="auto"/>
            </w:pPr>
            <w:r>
              <w:rPr>
                <w:sz w:val="21"/>
              </w:rPr>
              <w:t>Specimen and adequacy</w:t>
            </w:r>
          </w:p>
        </w:tc>
        <w:tc>
          <w:tcPr>
            <w:tcW w:type="dxa" w:w="698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before="40" w:line="252" w:lineRule="auto"/>
            </w:pPr>
            <w:r>
              <w:rPr>
                <w:sz w:val="21"/>
              </w:rPr>
              <w:t>Preparation, specimen type, adequacy, quality, and stated sampling limitations.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before="40" w:line="252" w:lineRule="auto"/>
            </w:pPr>
            <w:r>
              <w:rPr>
                <w:sz w:val="21"/>
              </w:rPr>
              <w:t>Cellularity and architecture</w:t>
            </w:r>
          </w:p>
        </w:tc>
        <w:tc>
          <w:tcPr>
            <w:tcW w:type="dxa" w:w="698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before="40" w:line="252" w:lineRule="auto"/>
            </w:pPr>
            <w:r>
              <w:rPr>
                <w:sz w:val="21"/>
              </w:rPr>
              <w:t>The report's descriptive findings, ranges, and qualifications.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before="40" w:line="252" w:lineRule="auto"/>
            </w:pPr>
            <w:r>
              <w:rPr>
                <w:sz w:val="21"/>
              </w:rPr>
              <w:t>Blast measurements</w:t>
            </w:r>
          </w:p>
        </w:tc>
        <w:tc>
          <w:tcPr>
            <w:tcW w:type="dxa" w:w="698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before="40" w:line="252" w:lineRule="auto"/>
            </w:pPr>
            <w:r>
              <w:rPr>
                <w:sz w:val="21"/>
              </w:rPr>
              <w:t>Each stated percentage or count, its preparation, counting method, units, and denominator.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before="40" w:line="252" w:lineRule="auto"/>
            </w:pPr>
            <w:r>
              <w:rPr>
                <w:sz w:val="21"/>
              </w:rPr>
              <w:t>Other differential populations</w:t>
            </w:r>
          </w:p>
        </w:tc>
        <w:tc>
          <w:tcPr>
            <w:tcW w:type="dxa" w:w="698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before="40" w:line="252" w:lineRule="auto"/>
            </w:pPr>
            <w:r>
              <w:rPr>
                <w:sz w:val="21"/>
              </w:rPr>
              <w:t>Separately reported promonocytes, monocytes, and other differential entries, retaining their source labels.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before="40" w:line="252" w:lineRule="auto"/>
            </w:pPr>
            <w:r>
              <w:rPr>
                <w:sz w:val="21"/>
              </w:rPr>
              <w:t>Morphology and lineage</w:t>
            </w:r>
          </w:p>
        </w:tc>
        <w:tc>
          <w:tcPr>
            <w:tcW w:type="dxa" w:w="698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before="40" w:line="252" w:lineRule="auto"/>
            </w:pPr>
            <w:r>
              <w:rPr>
                <w:sz w:val="21"/>
              </w:rPr>
              <w:t>Cytologic features and the source's lineage assessment, including hedges or deferred conclusions.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before="40" w:line="252" w:lineRule="auto"/>
            </w:pPr>
            <w:r>
              <w:rPr>
                <w:sz w:val="21"/>
              </w:rPr>
              <w:t>Immunohistochemistry</w:t>
            </w:r>
          </w:p>
        </w:tc>
        <w:tc>
          <w:tcPr>
            <w:tcW w:type="dxa" w:w="698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before="40" w:line="252" w:lineRule="auto"/>
            </w:pPr>
            <w:r>
              <w:rPr>
                <w:sz w:val="21"/>
              </w:rPr>
              <w:t>Named markers, reported results, intensity or distribution, and limitations.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before="40" w:line="252" w:lineRule="auto"/>
            </w:pPr>
            <w:r>
              <w:rPr>
                <w:sz w:val="21"/>
              </w:rPr>
              <w:t>Interpretation and limitations</w:t>
            </w:r>
          </w:p>
        </w:tc>
        <w:tc>
          <w:tcPr>
            <w:tcW w:type="dxa" w:w="698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before="40" w:line="252" w:lineRule="auto"/>
            </w:pPr>
            <w:r>
              <w:rPr>
                <w:sz w:val="21"/>
              </w:rPr>
              <w:t>Clearly attributed source-reported interpretation, uncertainty, pending studies, and limitations.</w:t>
            </w:r>
          </w:p>
        </w:tc>
      </w:tr>
    </w:tbl>
    <w:p>
      <w:pPr>
        <w:spacing w:after="40"/>
      </w:pPr>
    </w:p>
    <w:p>
      <w:r>
        <w:t>Use distinct rows for measurements from different preparations or methods. Keep each reported population separate even when adding numbers would produce an appealing summary. Do not create a combined count, substitute another report's percentage, or infer a denominator from customary practice.</w:t>
      </w:r>
    </w:p>
    <w:p>
      <w:r>
        <w:t>Preserve words such as “possible,” “probable,” and “pending” where the source uses them. A source statement that awaits another study remains unresolved within this extraction pass.</w:t>
      </w:r>
    </w:p>
    <w:p>
      <w:r>
        <w:t xml:space="preserve">Include the shared identity, accession, laboratory, and date fields. Mark absent checklist information </w:t>
      </w:r>
      <w:r>
        <w:rPr>
          <w:b/>
        </w:rPr>
        <w:t>Not reported</w:t>
      </w:r>
      <w:r>
        <w:t xml:space="preserve">. Record a stated diagnosis as </w:t>
      </w:r>
      <w:r>
        <w:rPr>
          <w:b/>
        </w:rPr>
        <w:t>Source-reported interpretation</w:t>
      </w:r>
      <w:r>
        <w:t>, with its exact quotation and location. Apply no disease thresholds, classification rules, or external interpretations during this pass.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64" w:lineRule="auto"/>
    </w:pPr>
    <w:rPr>
      <w:rFonts w:ascii="Arial" w:hAnsi="Arial" w:eastAsia="Arial" w:cs="Arial"/>
      <w:color w:val="000000"/>
      <w:sz w:val="22"/>
      <w:u w:val="none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 w:eastAsia="Arial" w:cs="Arial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Arial" w:hAnsi="Arial" w:eastAsia="Arial" w:cs="Arial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 w:eastAsia="Arial" w:cs="Arial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Arial" w:hAnsi="Arial" w:eastAsia="Arial" w:cs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240" w:after="100"/>
      <w:outlineLvl w:val="0"/>
    </w:pPr>
    <w:rPr>
      <w:rFonts w:ascii="Arial" w:hAnsi="Arial" w:eastAsia="Arial" w:cs="Arial"/>
      <w:b/>
      <w:bCs/>
      <w:color w:val="000000"/>
      <w:sz w:val="28"/>
      <w:szCs w:val="28"/>
      <w:u w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40" w:after="100"/>
      <w:outlineLvl w:val="1"/>
    </w:pPr>
    <w:rPr>
      <w:rFonts w:ascii="Arial" w:hAnsi="Arial" w:eastAsia="Arial" w:cs="Arial"/>
      <w:b/>
      <w:bCs/>
      <w:color w:val="000000"/>
      <w:sz w:val="24"/>
      <w:szCs w:val="26"/>
      <w:u w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40" w:after="100"/>
      <w:outlineLvl w:val="2"/>
    </w:pPr>
    <w:rPr>
      <w:rFonts w:ascii="Arial" w:hAnsi="Arial" w:eastAsia="Arial" w:cs="Arial"/>
      <w:b/>
      <w:bCs/>
      <w:color w:val="000000"/>
      <w:sz w:val="22"/>
      <w:u w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Arial" w:hAnsi="Arial" w:eastAsia="Arial" w:cs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Arial" w:hAnsi="Arial" w:eastAsia="Arial" w:cs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Arial" w:hAnsi="Arial" w:eastAsia="Arial" w:cs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Arial" w:hAnsi="Arial" w:eastAsia="Arial" w:cs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Arial" w:hAnsi="Arial" w:eastAsia="Arial" w:cs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Arial" w:hAnsi="Arial" w:eastAsia="Arial" w:cs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Arial" w:hAnsi="Arial" w:eastAsia="Arial" w:cs="Arial"/>
    </w:rPr>
  </w:style>
  <w:style w:type="table" w:default="1" w:styleId="TableNormal">
    <w:name w:val="Normal Table"/>
    <w:uiPriority w:val="99"/>
    <w:semiHidden/>
    <w:unhideWhenUsed/>
    <w:rPr>
      <w:rFonts w:ascii="Arial" w:hAnsi="Arial" w:eastAsia="Arial" w:cs="Arial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Arial" w:hAnsi="Arial" w:eastAsia="Arial" w:cs="Arial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Arial" w:hAnsi="Arial" w:eastAsia="Arial" w:cs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Arial" w:hAnsi="Arial" w:eastAsia="Arial" w:cs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Arial" w:hAnsi="Arial" w:eastAsia="Arial" w:cs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widowControl/>
      <w:spacing w:after="200" w:line="240" w:lineRule="auto"/>
      <w:contextualSpacing/>
    </w:pPr>
    <w:rPr>
      <w:rFonts w:ascii="Arial" w:hAnsi="Arial" w:eastAsia="Arial" w:cs="Arial"/>
      <w:b/>
      <w:color w:val="000000"/>
      <w:spacing w:val="5"/>
      <w:kern w:val="28"/>
      <w:sz w:val="44"/>
      <w:szCs w:val="52"/>
      <w:u w:val="none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Arial" w:hAnsi="Arial" w:eastAsia="Arial" w:cs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widowControl/>
      <w:numPr>
        <w:ilvl w:val="1"/>
      </w:numPr>
    </w:pPr>
    <w:rPr>
      <w:rFonts w:ascii="Arial" w:hAnsi="Arial" w:eastAsia="Arial" w:cs="Arial"/>
      <w:i/>
      <w:iCs/>
      <w:color w:val="000000"/>
      <w:spacing w:val="15"/>
      <w:sz w:val="24"/>
      <w:szCs w:val="24"/>
      <w:u w:val="none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Arial" w:hAnsi="Arial" w:eastAsia="Arial" w:cs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" w:hAnsi="Arial" w:eastAsia="Arial" w:cs="Arial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 w:eastAsia="Arial" w:cs="Arial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Arial" w:hAnsi="Arial" w:eastAsia="Arial" w:cs="Arial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Arial" w:hAnsi="Arial" w:eastAsia="Arial" w:cs="Arial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Arial" w:hAnsi="Arial" w:eastAsia="Arial" w:cs="Arial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Arial" w:hAnsi="Arial" w:eastAsia="Arial" w:cs="Arial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Arial" w:hAnsi="Arial" w:eastAsia="Arial" w:cs="Arial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Arial" w:hAnsi="Arial" w:eastAsia="Arial" w:cs="Arial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Arial" w:hAnsi="Arial" w:eastAsia="Arial" w:cs="Arial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Arial" w:hAnsi="Arial" w:eastAsia="Arial" w:cs="Arial"/>
    </w:rPr>
  </w:style>
  <w:style w:type="paragraph" w:styleId="ListBullet">
    <w:name w:val="List Bullet"/>
    <w:basedOn w:val="Normal"/>
    <w:uiPriority w:val="99"/>
    <w:unhideWhenUsed/>
    <w:rsid w:val="00326F90"/>
    <w:pPr>
      <w:widowControl/>
      <w:numPr>
        <w:numId w:val="1"/>
      </w:numPr>
      <w:spacing w:after="80" w:line="257" w:lineRule="auto"/>
      <w:contextualSpacing/>
    </w:pPr>
    <w:rPr>
      <w:rFonts w:ascii="Arial" w:hAnsi="Arial" w:eastAsia="Arial" w:cs="Arial"/>
      <w:color w:val="000000"/>
      <w:sz w:val="22"/>
      <w:u w:val="none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" w:hAnsi="Arial" w:eastAsia="Arial" w:cs="Arial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Arial" w:hAnsi="Arial" w:eastAsia="Arial" w:cs="Arial"/>
    </w:rPr>
  </w:style>
  <w:style w:type="paragraph" w:styleId="ListNumber">
    <w:name w:val="List Number"/>
    <w:basedOn w:val="Normal"/>
    <w:uiPriority w:val="99"/>
    <w:unhideWhenUsed/>
    <w:rsid w:val="00326F90"/>
    <w:pPr>
      <w:widowControl/>
      <w:numPr>
        <w:numId w:val="5"/>
      </w:numPr>
      <w:spacing w:after="80" w:line="257" w:lineRule="auto"/>
      <w:contextualSpacing/>
    </w:pPr>
    <w:rPr>
      <w:rFonts w:ascii="Arial" w:hAnsi="Arial" w:eastAsia="Arial" w:cs="Arial"/>
      <w:color w:val="000000"/>
      <w:sz w:val="22"/>
      <w:u w:val="none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rial" w:hAnsi="Arial" w:eastAsia="Arial" w:cs="Arial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Arial" w:hAnsi="Arial" w:eastAsia="Arial" w:cs="Arial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Arial" w:hAnsi="Arial" w:eastAsia="Arial" w:cs="Arial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Arial" w:hAnsi="Arial" w:eastAsia="Arial" w:cs="Arial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Arial" w:hAnsi="Arial" w:eastAsia="Arial" w:cs="Arial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eastAsia="Arial" w:cs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eastAsia="Arial" w:cs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Arial" w:hAnsi="Arial" w:eastAsia="Arial" w:cs="Arial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Arial" w:hAnsi="Arial" w:eastAsia="Arial" w:cs="Arial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Arial" w:hAnsi="Arial" w:eastAsia="Arial" w:cs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Arial" w:hAnsi="Arial" w:eastAsia="Arial" w:cs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Arial" w:hAnsi="Arial" w:eastAsia="Arial" w:cs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Arial" w:hAnsi="Arial" w:eastAsia="Arial" w:cs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Arial" w:hAnsi="Arial" w:eastAsia="Arial" w:cs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Arial" w:hAnsi="Arial" w:eastAsia="Arial" w:cs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 w:eastAsia="Arial" w:cs="Arial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Arial" w:hAnsi="Arial" w:eastAsia="Arial" w:cs="Arial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Arial" w:hAnsi="Arial" w:eastAsia="Arial" w:cs="Arial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rFonts w:ascii="Arial" w:hAnsi="Arial" w:eastAsia="Arial" w:cs="Arial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Arial" w:hAnsi="Arial" w:eastAsia="Arial" w:cs="Arial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Arial" w:hAnsi="Arial" w:eastAsia="Arial" w:cs="Arial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Arial" w:hAnsi="Arial" w:eastAsia="Arial" w:cs="Arial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Arial" w:hAnsi="Arial" w:eastAsia="Arial" w:cs="Arial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Arial" w:hAnsi="Arial" w:eastAsia="Arial" w:cs="Arial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Arial" w:hAnsi="Arial" w:eastAsia="Arial" w:cs="Arial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" w:hAnsi="Arial" w:eastAsia="Arial" w:cs="Arial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Arial" w:hAnsi="Arial" w:eastAsia="Arial" w:cs="Arial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Arial" w:hAnsi="Arial" w:eastAsia="Arial" w:cs="Arial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Arial" w:hAnsi="Arial" w:eastAsia="Arial" w:cs="Arial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Arial" w:hAnsi="Arial" w:eastAsia="Arial" w:cs="Arial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Arial" w:hAnsi="Arial" w:eastAsia="Arial" w:cs="Arial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Arial" w:hAnsi="Arial" w:eastAsia="Arial" w:cs="Arial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Arial" w:hAnsi="Arial" w:eastAsia="Arial" w:cs="Arial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Arial" w:hAnsi="Arial" w:eastAsia="Arial" w:cs="Arial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Arial" w:hAnsi="Arial" w:eastAsia="Arial" w:cs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Arial" w:hAnsi="Arial" w:eastAsia="Arial" w:cs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Arial" w:hAnsi="Arial" w:eastAsia="Arial" w:cs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Arial" w:hAnsi="Arial" w:eastAsia="Arial" w:cs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Arial" w:hAnsi="Arial" w:eastAsia="Arial" w:cs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Arial" w:hAnsi="Arial" w:eastAsia="Arial" w:cs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Arial" w:hAnsi="Arial" w:eastAsia="Arial" w:cs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Morphology Report Extractor</dc:title>
  <dc:subject>Claude Project reporting workflow teaching materials</dc:subject>
  <dc:creator>AC3 Integrated Reporting Demo</dc:creator>
  <cp:keywords>AC3, Claude Projects, synthetic reporting demonstration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