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Report and Evidence Templates</w:t>
      </w:r>
    </w:p>
    <w:p>
      <w:r>
        <w:t xml:space="preserve">Start with </w:t>
      </w:r>
      <w:r>
        <w:rPr>
          <w:b/>
        </w:rPr>
        <w:t>Synthetic teaching draft — human review required</w:t>
      </w:r>
      <w:r>
        <w:t>. Use ordinary tables and headings, not a JSON dump. Separate measured/reported facts from the assistant's derived assessment.</w:t>
      </w:r>
    </w:p>
    <w:p>
      <w:pPr>
        <w:pStyle w:val="Heading1"/>
      </w:pPr>
      <w:r>
        <w:t>Opening summary</w:t>
      </w:r>
    </w:p>
    <w:p>
      <w:r>
        <w:t>State classification status (supported, insufficient evidence, or outside source scope), the framework/version actually consulted, key findings, and unresolved issues. Keep this summary brief enough to show on screen. If source access failed, state that derived classification is paused.</w:t>
      </w:r>
    </w:p>
    <w:p>
      <w:pPr>
        <w:pStyle w:val="Heading1"/>
      </w:pPr>
      <w:r>
        <w:t>Evidence tables</w:t>
      </w:r>
    </w:p>
    <w:p>
      <w:r>
        <w:t>Keep four extraction tables with columns:</w:t>
      </w:r>
    </w:p>
    <w:p>
      <w:pPr>
        <w:spacing w:after="60"/>
        <w:ind w:left="317" w:hanging="317"/>
      </w:pPr>
      <w:r>
        <w:t>1. Finding ID</w:t>
      </w:r>
    </w:p>
    <w:p>
      <w:pPr>
        <w:spacing w:after="60"/>
        <w:ind w:left="317" w:hanging="317"/>
      </w:pPr>
      <w:r>
        <w:t>2. Field / population</w:t>
      </w:r>
    </w:p>
    <w:p>
      <w:pPr>
        <w:spacing w:after="60"/>
        <w:ind w:left="317" w:hanging="317"/>
      </w:pPr>
      <w:r>
        <w:t>3. Reported value / status</w:t>
      </w:r>
    </w:p>
    <w:p>
      <w:pPr>
        <w:spacing w:after="60"/>
        <w:ind w:left="317" w:hanging="317"/>
      </w:pPr>
      <w:r>
        <w:t>4. Method / units / denominator</w:t>
      </w:r>
    </w:p>
    <w:p>
      <w:pPr>
        <w:spacing w:after="60"/>
        <w:ind w:left="317" w:hanging="317"/>
      </w:pPr>
      <w:r>
        <w:t>5. Exact quote and location</w:t>
      </w:r>
    </w:p>
    <w:p>
      <w:r>
        <w:t>Use MORPH-001, FLOW-001, CYTO-001, and MOLEC-001 style identifiers. Do not invent populated rows when a document does not report a finding. A missingness row has no fabricated quotation.</w:t>
      </w:r>
    </w:p>
    <w:p>
      <w:pPr>
        <w:pStyle w:val="Heading1"/>
      </w:pPr>
      <w:r>
        <w:t>Criteria assessment</w:t>
      </w:r>
    </w:p>
    <w:p>
      <w:r>
        <w:t>Use a table with these columns in this order</w:t>
      </w:r>
    </w:p>
    <w:p>
      <w:pPr>
        <w:spacing w:after="60"/>
        <w:ind w:left="317" w:hanging="317"/>
      </w:pPr>
      <w:r>
        <w:t>1. Criterion ID</w:t>
      </w:r>
    </w:p>
    <w:p>
      <w:pPr>
        <w:spacing w:after="60"/>
        <w:ind w:left="317" w:hanging="317"/>
      </w:pPr>
      <w:r>
        <w:t>2. Criterion in plain language</w:t>
      </w:r>
    </w:p>
    <w:p>
      <w:pPr>
        <w:spacing w:after="60"/>
        <w:ind w:left="317" w:hanging="317"/>
      </w:pPr>
      <w:r>
        <w:t>3. Source / section / table</w:t>
      </w:r>
    </w:p>
    <w:p>
      <w:pPr>
        <w:spacing w:after="60"/>
        <w:ind w:left="317" w:hanging="317"/>
      </w:pPr>
      <w:r>
        <w:t>4. Brief supporting excerpt or precise citation</w:t>
      </w:r>
    </w:p>
    <w:p>
      <w:pPr>
        <w:spacing w:after="60"/>
        <w:ind w:left="317" w:hanging="317"/>
      </w:pPr>
      <w:r>
        <w:t>5. Case finding IDs</w:t>
      </w:r>
    </w:p>
    <w:p>
      <w:pPr>
        <w:spacing w:after="60"/>
        <w:ind w:left="317" w:hanging="317"/>
      </w:pPr>
      <w:r>
        <w:t>6. Assessment</w:t>
      </w:r>
    </w:p>
    <w:p>
      <w:pPr>
        <w:spacing w:after="60"/>
        <w:ind w:left="317" w:hanging="317"/>
      </w:pPr>
      <w:r>
        <w:t>7. Reason / missing evidence</w:t>
      </w:r>
    </w:p>
    <w:p>
      <w:r>
        <w:t>Use C1, C2, and so on. Use met, not met, unknown, or not applicable. Select criteria from the actual retrieved context; do not encode a preferred answer. Keep source quotations short and respect quotation limits. A citation's existence alone does not establish that it supports the assessment.</w:t>
      </w:r>
    </w:p>
    <w:p>
      <w:pPr>
        <w:pStyle w:val="Heading1"/>
      </w:pPr>
      <w:r>
        <w:t>Integrated draft headings</w:t>
      </w:r>
    </w:p>
    <w:p>
      <w:pPr>
        <w:spacing w:after="60"/>
        <w:ind w:left="317" w:hanging="317"/>
      </w:pPr>
      <w:r>
        <w:t>1. Patient and specimen</w:t>
      </w:r>
    </w:p>
    <w:p>
      <w:pPr>
        <w:spacing w:after="60"/>
        <w:ind w:left="317" w:hanging="317"/>
      </w:pPr>
      <w:r>
        <w:t>2. Component studies, accessions, and laboratories</w:t>
      </w:r>
    </w:p>
    <w:p>
      <w:pPr>
        <w:spacing w:after="60"/>
        <w:ind w:left="317" w:hanging="317"/>
      </w:pPr>
      <w:r>
        <w:t>3. Clinical context</w:t>
      </w:r>
    </w:p>
    <w:p>
      <w:pPr>
        <w:spacing w:after="60"/>
        <w:ind w:left="317" w:hanging="317"/>
      </w:pPr>
      <w:r>
        <w:t>4. Morphology</w:t>
      </w:r>
    </w:p>
    <w:p>
      <w:pPr>
        <w:spacing w:after="60"/>
        <w:ind w:left="317" w:hanging="317"/>
      </w:pPr>
      <w:r>
        <w:t>5. Flow cytometry</w:t>
      </w:r>
    </w:p>
    <w:p>
      <w:pPr>
        <w:spacing w:after="60"/>
        <w:ind w:left="317" w:hanging="317"/>
      </w:pPr>
      <w:r>
        <w:t>6. Cytogenetics and FISH</w:t>
      </w:r>
    </w:p>
    <w:p>
      <w:pPr>
        <w:spacing w:after="60"/>
        <w:ind w:left="317" w:hanging="317"/>
      </w:pPr>
      <w:r>
        <w:t>7. Molecular findings</w:t>
      </w:r>
    </w:p>
    <w:p>
      <w:pPr>
        <w:spacing w:after="60"/>
        <w:ind w:left="317" w:hanging="317"/>
      </w:pPr>
      <w:r>
        <w:t>8. Integrated interpretation</w:t>
      </w:r>
    </w:p>
    <w:p>
      <w:pPr>
        <w:spacing w:after="60"/>
        <w:ind w:left="317" w:hanging="317"/>
      </w:pPr>
      <w:r>
        <w:t>9. Diagnostic assessment</w:t>
      </w:r>
    </w:p>
    <w:p>
      <w:pPr>
        <w:spacing w:after="60"/>
        <w:ind w:left="317" w:hanging="317"/>
      </w:pPr>
      <w:r>
        <w:t>10. Prognostic and predictive observations</w:t>
      </w:r>
    </w:p>
    <w:p>
      <w:pPr>
        <w:spacing w:after="60"/>
        <w:ind w:left="317" w:hanging="317"/>
      </w:pPr>
      <w:r>
        <w:t>11. Limitations and unresolved issues</w:t>
      </w:r>
    </w:p>
    <w:p>
      <w:r>
        <w:t>Cite finding IDs at the end of source-supported statements. Derived interpretation and diagnosis need both finding and criterion references, for example [MORPH-003; MOLEC-006; C2]. These are illustrative ID formats, not an expected result. An attributed component diagnosis can use its report finding ID alone. If classification is unsupported, state why and what is missing.</w:t>
      </w:r>
    </w:p>
    <w:p>
      <w:r>
        <w:t>Do not force a formal risk category into section 10. Source-reported wording can be attributed; a new risk assessment requires the separately retrieved approved risk reference and its scope qualifications.</w:t>
      </w:r>
    </w:p>
    <w:p>
      <w:pPr>
        <w:pStyle w:val="Heading1"/>
      </w:pPr>
      <w:r>
        <w:t>Review stage</w:t>
      </w:r>
    </w:p>
    <w:p>
      <w:r>
        <w:t>Use a table with these columns in this order</w:t>
      </w:r>
    </w:p>
    <w:p>
      <w:pPr>
        <w:spacing w:after="60"/>
        <w:ind w:left="317" w:hanging="317"/>
      </w:pPr>
      <w:r>
        <w:t>1. Severity</w:t>
      </w:r>
    </w:p>
    <w:p>
      <w:pPr>
        <w:spacing w:after="60"/>
        <w:ind w:left="317" w:hanging="317"/>
      </w:pPr>
      <w:r>
        <w:t>2. Affected statement / finding</w:t>
      </w:r>
    </w:p>
    <w:p>
      <w:pPr>
        <w:spacing w:after="60"/>
        <w:ind w:left="317" w:hanging="317"/>
      </w:pPr>
      <w:r>
        <w:t>3. Concern</w:t>
      </w:r>
    </w:p>
    <w:p>
      <w:pPr>
        <w:spacing w:after="60"/>
        <w:ind w:left="317" w:hanging="317"/>
      </w:pPr>
      <w:r>
        <w:t>4. Evidence needed or suggested correction</w:t>
      </w:r>
    </w:p>
    <w:p>
      <w:r>
        <w:t>Re-read source passages and reference context. Keep substantive concerns visible. If none are found, say the review found no additional concerns; do not say the draft is validated or guaranteed correct. Identify this as a same-conversation review unless a fresh review context was actually used.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Report and Evidence Templates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