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Common Report Extraction Policy</w:t>
      </w:r>
    </w:p>
    <w:p>
      <w:r>
        <w:t xml:space="preserve">Perform one extraction pass for each assigned report, using source IDs </w:t>
      </w:r>
      <w:r>
        <w:rPr>
          <w:b/>
        </w:rPr>
        <w:t>MORPH</w:t>
      </w:r>
      <w:r>
        <w:t xml:space="preserve">, </w:t>
      </w:r>
      <w:r>
        <w:rPr>
          <w:b/>
        </w:rPr>
        <w:t>FLOW</w:t>
      </w:r>
      <w:r>
        <w:t xml:space="preserve">, </w:t>
      </w:r>
      <w:r>
        <w:rPr>
          <w:b/>
        </w:rPr>
        <w:t>CYTO</w:t>
      </w:r>
      <w:r>
        <w:t xml:space="preserve">, and </w:t>
      </w:r>
      <w:r>
        <w:rPr>
          <w:b/>
        </w:rPr>
        <w:t>MOLEC</w:t>
      </w:r>
      <w:r>
        <w:t>. In a single chat, these passes share conversation context. Restrict each pass's evidence to its assigned report; another report cannot fill a missing field. Apply the matching modality instructions after these shared instructions.</w:t>
      </w:r>
    </w:p>
    <w:p>
      <w:pPr>
        <w:pStyle w:val="Heading1"/>
      </w:pPr>
      <w:r>
        <w:t>Output</w:t>
      </w:r>
    </w:p>
    <w:p>
      <w:r>
        <w:t>Label the output with its source ID and exact uploaded filename. Return a findings table with these columns:</w:t>
      </w:r>
    </w:p>
    <w:p>
      <w:pPr>
        <w:spacing w:after="60"/>
        <w:ind w:left="317" w:hanging="317"/>
      </w:pPr>
      <w:r>
        <w:t>1. Finding ID</w:t>
      </w:r>
    </w:p>
    <w:p>
      <w:pPr>
        <w:spacing w:after="60"/>
        <w:ind w:left="317" w:hanging="317"/>
      </w:pPr>
      <w:r>
        <w:t>2. Field / population</w:t>
      </w:r>
    </w:p>
    <w:p>
      <w:pPr>
        <w:spacing w:after="60"/>
        <w:ind w:left="317" w:hanging="317"/>
      </w:pPr>
      <w:r>
        <w:t>3. Reported value / status</w:t>
      </w:r>
    </w:p>
    <w:p>
      <w:pPr>
        <w:spacing w:after="60"/>
        <w:ind w:left="317" w:hanging="317"/>
      </w:pPr>
      <w:r>
        <w:t>4. Method / units / denominator</w:t>
      </w:r>
    </w:p>
    <w:p>
      <w:pPr>
        <w:spacing w:after="60"/>
        <w:ind w:left="317" w:hanging="317"/>
      </w:pPr>
      <w:r>
        <w:t>5. Exact quote and location</w:t>
      </w:r>
    </w:p>
    <w:p>
      <w:r>
        <w:t xml:space="preserve">Assign unique sequential IDs within each source, beginning with </w:t>
      </w:r>
      <w:r>
        <w:t>MORPH-001</w:t>
      </w:r>
      <w:r>
        <w:t xml:space="preserve">, </w:t>
      </w:r>
      <w:r>
        <w:t>FLOW-001</w:t>
      </w:r>
      <w:r>
        <w:t xml:space="preserve">, </w:t>
      </w:r>
      <w:r>
        <w:t>CYTO-001</w:t>
      </w:r>
      <w:r>
        <w:t xml:space="preserve">, or </w:t>
      </w:r>
      <w:r>
        <w:t>MOLEC-001</w:t>
      </w:r>
      <w:r>
        <w:t xml:space="preserve">. Keep these IDs unchanged when the findings are used later. Use a separate row for each distinct result. Repeat a group label in </w:t>
      </w:r>
      <w:r>
        <w:rPr>
          <w:b/>
        </w:rPr>
        <w:t>Field / population</w:t>
      </w:r>
      <w:r>
        <w:t xml:space="preserve"> when rows describe the same population, test, or molecular variant.</w:t>
      </w:r>
    </w:p>
    <w:p>
      <w:pPr>
        <w:pStyle w:val="Heading1"/>
      </w:pPr>
      <w:r>
        <w:t>Shared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Information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Preserve from the assigned report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Patient identity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Patient identifier, name, date of birth, and any reported identifying qualifications.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Specimen and study identity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Specimen identifier and description, accession numbers, performing laboratories, and collection/report dates.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 context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 status, amendments, clinical history, pending studies, and stated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 interpretation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 xml:space="preserve">The source author's interpretation, explicitly labeled </w:t>
            </w:r>
            <w:r>
              <w:rPr>
                <w:b/>
                <w:sz w:val="21"/>
              </w:rPr>
              <w:t>Source-reported interpretation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40"/>
      </w:pPr>
    </w:p>
    <w:p>
      <w:r>
        <w:t>Do not assume that an accession number is a patient or specimen identifier. Preserve identifiers and laboratory names exactly.</w:t>
      </w:r>
    </w:p>
    <w:p>
      <w:pPr>
        <w:pStyle w:val="Heading1"/>
      </w:pPr>
      <w:r>
        <w:t>Status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Status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explicitly states the finding or value.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Negative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explicitly reports a negative or absent finding within a stated assessment or tested scope.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Not reported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An expected checklist field is absent from the accessible report.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Not performed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explicitly says the assessment was not performed.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Pending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explicitly says the result is pending.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Equivocal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explicitly describes the result as equivocal or indeterminate.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Unreadable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Relevant content is present but cannot be read reliably.</w:t>
            </w:r>
          </w:p>
        </w:tc>
      </w:tr>
    </w:tbl>
    <w:p>
      <w:pPr>
        <w:spacing w:after="40"/>
      </w:pPr>
    </w:p>
    <w:p>
      <w:r>
        <w:t>For supported findings, copy an exact, contiguous quotation and provide its actual page and section. If page numbering is unavailable, give a visible heading or other identifiable location. Do not invent a page, paraphrase a quote, or combine fragments. The evidence must support the value and any method, units, or denominator supplied.</w:t>
      </w:r>
    </w:p>
    <w:p>
      <w:r>
        <w:t>If printed page labels conflict with the PDF's actual page order, cite the physical PDF page and note the discrepancy.</w:t>
      </w:r>
    </w:p>
    <w:p>
      <w:r>
        <w:t xml:space="preserve">For </w:t>
      </w:r>
      <w:r>
        <w:rPr>
          <w:b/>
        </w:rPr>
        <w:t>Not reported</w:t>
      </w:r>
      <w:r>
        <w:t xml:space="preserve">, enter no inferred value or quotation and write “No supporting statement located.” For </w:t>
      </w:r>
      <w:r>
        <w:rPr>
          <w:b/>
        </w:rPr>
        <w:t>Unreadable</w:t>
      </w:r>
      <w:r>
        <w:t>, identify the affected location if possible. Mark unstated measurement context as “Not stated.” Preserve ranges, qualifiers, uncertainty, and separate populations; do not calculate new values.</w:t>
      </w:r>
    </w:p>
    <w:p>
      <w:r>
        <w:t>Keep extraction descriptive. Derived classification, risk assessment, treatment implications, and cross-report reconciliation belong to the later integration pass with its supporting references. If the assigned file is inaccessible, mark that extraction pass unavailable instead of presenting invented findings.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Report Extraction Policy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