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A4ECC7" wp14:paraId="3F5249E6" wp14:textId="2732C4AD">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CLOUD MIGRATION AND TRANSFORMATION SERVICES AGREEMENT</w:t>
      </w:r>
    </w:p>
    <w:p xmlns:wp14="http://schemas.microsoft.com/office/word/2010/wordml" w:rsidP="20A4ECC7" wp14:paraId="2184F82C" wp14:textId="4F0D1F4F">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Project Agreement Number: CMS-2026-0234 | Effective Date: April 1, 2026 | Project Duration: 18 Months | Agreement Type: Fixed-Price Professional Services</w:t>
      </w:r>
    </w:p>
    <w:p xmlns:wp14="http://schemas.microsoft.com/office/word/2010/wordml" w:rsidP="20A4ECC7" wp14:paraId="56648AF7" wp14:textId="74B0BC69">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CONTRACTING PARTIES</w:t>
      </w:r>
    </w:p>
    <w:p xmlns:wp14="http://schemas.microsoft.com/office/word/2010/wordml" w:rsidP="20A4ECC7" wp14:paraId="1BC3A8AD" wp14:textId="243AEEEB">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 xml:space="preserve">SERVICE PROVIDER: CloudFirst Consulting Partners Inc., 900 Innovation Drive, Building 5, Palo Alto, CA 94304, Federal Tax ID: 77-9876543, Website: </w:t>
      </w:r>
      <w:hyperlink r:id="Rf311ebfce1ac4fb3">
        <w:r w:rsidRPr="20A4ECC7" w:rsidR="3FF20A7D">
          <w:rPr>
            <w:rStyle w:val="Hyperlink"/>
            <w:rFonts w:ascii="Times New Roman" w:hAnsi="Times New Roman" w:eastAsia="Times New Roman" w:cs="Times New Roman"/>
            <w:noProof w:val="0"/>
            <w:sz w:val="24"/>
            <w:szCs w:val="24"/>
            <w:lang w:val="en-US"/>
          </w:rPr>
          <w:t>www.cloudfirst-consulting.com</w:t>
        </w:r>
      </w:hyperlink>
      <w:r w:rsidRPr="20A4ECC7" w:rsidR="3FF20A7D">
        <w:rPr>
          <w:rFonts w:ascii="Times New Roman" w:hAnsi="Times New Roman" w:eastAsia="Times New Roman" w:cs="Times New Roman"/>
          <w:noProof w:val="0"/>
          <w:sz w:val="24"/>
          <w:szCs w:val="24"/>
          <w:lang w:val="en-US"/>
        </w:rPr>
        <w:t xml:space="preserve">, Primary Contact: </w:t>
      </w:r>
      <w:hyperlink r:id="R3e86a44bce2c40b9">
        <w:r w:rsidRPr="20A4ECC7" w:rsidR="3FF20A7D">
          <w:rPr>
            <w:rStyle w:val="Hyperlink"/>
            <w:rFonts w:ascii="Times New Roman" w:hAnsi="Times New Roman" w:eastAsia="Times New Roman" w:cs="Times New Roman"/>
            <w:noProof w:val="0"/>
            <w:sz w:val="24"/>
            <w:szCs w:val="24"/>
            <w:lang w:val="en-US"/>
          </w:rPr>
          <w:t>projects@cloudfirst-consulting.com</w:t>
        </w:r>
      </w:hyperlink>
    </w:p>
    <w:p xmlns:wp14="http://schemas.microsoft.com/office/word/2010/wordml" w:rsidP="20A4ECC7" wp14:paraId="7F58347A" wp14:textId="36DC0614">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 xml:space="preserve">CLIENT: National Retail Corporation, 12000 Retail Boulevard, Dallas, TX 75201, Federal Tax ID: 75-1234567, Website: </w:t>
      </w:r>
      <w:hyperlink r:id="R1a666f9f96e449e4">
        <w:r w:rsidRPr="20A4ECC7" w:rsidR="3FF20A7D">
          <w:rPr>
            <w:rStyle w:val="Hyperlink"/>
            <w:rFonts w:ascii="Times New Roman" w:hAnsi="Times New Roman" w:eastAsia="Times New Roman" w:cs="Times New Roman"/>
            <w:noProof w:val="0"/>
            <w:sz w:val="24"/>
            <w:szCs w:val="24"/>
            <w:lang w:val="en-US"/>
          </w:rPr>
          <w:t>www.nationalretail.com</w:t>
        </w:r>
      </w:hyperlink>
      <w:r w:rsidRPr="20A4ECC7" w:rsidR="3FF20A7D">
        <w:rPr>
          <w:rFonts w:ascii="Times New Roman" w:hAnsi="Times New Roman" w:eastAsia="Times New Roman" w:cs="Times New Roman"/>
          <w:noProof w:val="0"/>
          <w:sz w:val="24"/>
          <w:szCs w:val="24"/>
          <w:lang w:val="en-US"/>
        </w:rPr>
        <w:t xml:space="preserve">, Primary Contact: </w:t>
      </w:r>
      <w:hyperlink r:id="R8423f121cd0d4270">
        <w:r w:rsidRPr="20A4ECC7" w:rsidR="3FF20A7D">
          <w:rPr>
            <w:rStyle w:val="Hyperlink"/>
            <w:rFonts w:ascii="Times New Roman" w:hAnsi="Times New Roman" w:eastAsia="Times New Roman" w:cs="Times New Roman"/>
            <w:noProof w:val="0"/>
            <w:sz w:val="24"/>
            <w:szCs w:val="24"/>
            <w:lang w:val="en-US"/>
          </w:rPr>
          <w:t>digital-transformation@nationalretail.com</w:t>
        </w:r>
      </w:hyperlink>
    </w:p>
    <w:p xmlns:wp14="http://schemas.microsoft.com/office/word/2010/wordml" w:rsidP="20A4ECC7" wp14:paraId="5B6C275C" wp14:textId="604CB5EB">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EXECUTIVE SUMMARY</w:t>
      </w:r>
    </w:p>
    <w:p xmlns:wp14="http://schemas.microsoft.com/office/word/2010/wordml" w:rsidP="20A4ECC7" wp14:paraId="725236DC" wp14:textId="1620E606">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This Agreement governs the provision of cloud migration and digital transformation services by Service Provider to Client. The project involves migrating Client's on-premises infrastructure, applications, and data to Amazon Web Services (AWS) cloud platform, modernizing legacy applications, and implementing cloud-native architectures. Project Objectives: Migrate 200+ applications to AWS cloud; Modernize 50 legacy applications; Implement microservices architecture; Establish DevOps practices and CI/CD pipelines; Reduce infrastructure costs by 40%; Improve application performance and scalability; Enhance security and compliance posture</w:t>
      </w:r>
    </w:p>
    <w:p xmlns:wp14="http://schemas.microsoft.com/office/word/2010/wordml" w:rsidP="20A4ECC7" wp14:paraId="4AB91D7D" wp14:textId="006F18D0">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ARTICLE 1: PROJECT SCOPE AND DELIVERABLES</w:t>
      </w:r>
    </w:p>
    <w:p xmlns:wp14="http://schemas.microsoft.com/office/word/2010/wordml" w:rsidP="20A4ECC7" wp14:paraId="5DA67EE3" wp14:textId="54633F0E">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1.1 Project Phases - The project shall be executed in the following phases:</w:t>
      </w:r>
    </w:p>
    <w:p xmlns:wp14="http://schemas.microsoft.com/office/word/2010/wordml" w:rsidP="20A4ECC7" wp14:paraId="2BD1459C" wp14:textId="6DC1B421">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Phase 1: Discovery and Assessment (Months 1-2) | Deliverables: 1. Current State Assessment Report - Inventory of all applications, servers, and infrastructure, Application dependency mapping, Performance baseline metrics, Security and compliance assessment, Cost analysis of current infrastructure 2. Cloud Readiness Assessment - Application portfolio analysis, Migration complexity scoring, Cloud suitability evaluation, Risk assessment and mitigation strategies, TCO (Total Cost of Ownership) analysis 3. Target Architecture Design - AWS reference architecture, Network architecture design, Security architecture design, High availability and disaster recovery design, Compliance framework design 4. Migration Strategy and Roadmap - Application prioritization and wave planning, Migration approach for each application (6 R's), Resource requirements and timeline, Risk register and mitigation plans, Success criteria and KPIs | Acceptance Criteria: All deliverables reviewed and approved by Client's Architecture Review Board; Migration roadmap signed off by Client's CIO; Budget and timeline confirmed</w:t>
      </w:r>
    </w:p>
    <w:p xmlns:wp14="http://schemas.microsoft.com/office/word/2010/wordml" w:rsidP="20A4ECC7" wp14:paraId="76E3EAD4" wp14:textId="79C4DBC5">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Phase 2: Foundation and Landing Zone (Months 3-4) | Deliverables: 1. AWS Landing Zone Implementation - Multi-account AWS organization structure, Identity and Access Management (IAM) configuration, Network architecture (VPC, subnets, routing), Security groups and NACLs, AWS Control Tower setup, Service Control Policies (SCPs) 2. Connectivity and Networking - AWS Direct Connect implementation, VPN connections for redundancy, Hybrid DNS configuration, Network monitoring and logging, Content Delivery Network (CDN) setup 3. Security and Compliance Framework - AWS Security Hub configuration, AWS GuardDuty implementation, AWS Config rules deployment, Encryption key management (KMS), Security monitoring and alerting, Compliance automation (PCI DSS, SOC 2) 4. Operational Tools Setup - Monitoring and observability (CloudWatch, Datadog), Log aggregation and analysis (CloudWatch Logs, Splunk), Backup and disaster recovery tools, Cost management and optimization tools, Automation and orchestration tools | Acceptance Criteria: Landing zone passes security audit; Connectivity tested and validated; All operational tools functional; Runbooks and documentation completed</w:t>
      </w:r>
    </w:p>
    <w:p xmlns:wp14="http://schemas.microsoft.com/office/word/2010/wordml" w:rsidP="20A4ECC7" wp14:paraId="57AF5FFB" wp14:textId="043FD9AA">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Phase 3: Pilot Migration (Months 5-6) | Deliverables: 1. Pilot Application Migrations (10 applications) - Low-complexity, non-critical applications, Rehost (lift-and-shift) migrations, Application testing and validation, Performance benchmarking, User acceptance testing 2. Migration Tooling and Automation - AWS Application Migration Service configuration, Database migration tools setup, Automated testing frameworks, Rollback procedures and scripts, Migration playbooks and runbooks 3. Training and Knowledge Transfer - Cloud fundamentals training for IT staff, AWS services training, Migration process training, Operational procedures training, Documentation and knowledge base 4. Lessons Learned and Process Refinement - Pilot migration retrospective, Process improvements, Updated migration playbooks, Risk mitigation updates, Timeline adjustments if needed | Acceptance Criteria: All pilot applications successfully migrated; Performance meets or exceeds baseline; No critical issues or data loss; Client team trained and capable of supporting migrated apps</w:t>
      </w:r>
    </w:p>
    <w:p xmlns:wp14="http://schemas.microsoft.com/office/word/2010/wordml" w:rsidP="20A4ECC7" wp14:paraId="62BE4BDD" wp14:textId="43483933">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Phase 4: Wave 1 Migration (Months 7-9) | Deliverables: 1. Application Migrations (60 applications) - Tier 2 and Tier 3 applications, Mix of rehost, replatform, and refactor approaches, Database migrations (SQL Server, Oracle, MySQL), Application modernization where applicable, Integration testing 2. Data Migration - Historical data migration, Data validation and reconciliation, Data archival strategy implementation, Backup and recovery testing 3. Performance Optimization - Application performance tuning, Database optimization, Caching implementation (ElastiCache), CDN optimization, Cost optimization recommendations 4. Security Hardening - Security scanning and remediation, Penetration testing, Compliance validation, Security documentation updates | Acceptance Criteria: All Wave 1 applications migrated and operational; Performance SLAs met; Security and compliance requirements satisfied; User acceptance testing passed</w:t>
      </w:r>
    </w:p>
    <w:p xmlns:wp14="http://schemas.microsoft.com/office/word/2010/wordml" w:rsidP="20A4ECC7" wp14:paraId="38A69546" wp14:textId="4A60C176">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Phase 5: Wave 2 Migration (Months 10-12) | Deliverables: 1. Application Migrations (80 applications) - Tier 1 and business-critical applications, Complex application migrations, Legacy application modernization, Microservices implementation for selected apps, API gateway implementation 2. Advanced Cloud Services Implementation - Serverless computing (Lambda), Container orchestration (ECS/EKS), Managed databases (RDS, DynamoDB), Message queuing (SQS, SNS), Event-driven architectures 3. DevOps and CI/CD Implementation - CI/CD pipeline setup (Jenkins, GitLab CI), Infrastructure as Code (Terraform, CloudFormation), Automated testing frameworks, Blue-green deployment strategies, Canary deployments 4. Disaster Recovery Implementation - Multi-region DR setup, Automated failover procedures, DR testing and validation, Business continuity planning, Recovery runbooks | Acceptance Criteria: All Wave 2 applications migrated successfully; DevOps pipelines operational; DR tested and validated; Performance and availability targets met</w:t>
      </w:r>
    </w:p>
    <w:p xmlns:wp14="http://schemas.microsoft.com/office/word/2010/wordml" w:rsidP="20A4ECC7" wp14:paraId="208C10F1" wp14:textId="48DC2C55">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Phase 6: Wave 3 Migration and Modernization (Months 13-15) | Deliverables: 1. Final Application Migrations (50 applications) - Remaining applications migrated, Complex legacy system modernization, Data warehouse migration, Analytics platform implementation, Machine learning workload migration 2. Application Modernization - Monolith to microservices refactoring, API-first architecture implementation, Event-driven architecture patterns, Serverless application development, Container-native applications 3. Advanced Analytics and AI/ML - Data lake implementation (S3, Glue), Analytics platform (Redshift, Athena), Machine learning pipelines (SageMaker), Business intelligence dashboards, Real-time analytics 4. Cost Optimization - Reserved instance recommendations, Savings plans implementation, Right-sizing recommendations, Automated cost optimization, FinOps practices implementation | Acceptance Criteria: All applications migrated to cloud; Modernization objectives achieved; Analytics platform operational; Cost targets met or exceeded</w:t>
      </w:r>
    </w:p>
    <w:p xmlns:wp14="http://schemas.microsoft.com/office/word/2010/wordml" w:rsidP="20A4ECC7" wp14:paraId="6284FBEB" wp14:textId="48928557">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Phase 7: Optimization and Stabilization (Months 16-18) | Deliverables: 1. Performance Optimization - Application performance tuning, Database optimization, Network optimization, Caching strategies, Auto-scaling configuration 2. Security and Compliance - Final security audit, Compliance certification support, Security automation enhancement, Incident response procedures, Security training 3. Operational Excellence - Monitoring and alerting refinement, Automated remediation, Capacity planning, Change management processes, Operational runbooks 4. Knowledge Transfer and Handover - Comprehensive documentation, Architecture diagrams and designs, Operational procedures, Troubleshooting guides, Training for Client's operations team 5. Project Closure - Final project report, Lessons learned documentation, Success metrics and KPI achievement, Warranty period definition, Ongoing support transition | Acceptance Criteria: All optimization activities completed; Documentation delivered and approved; Client team fully trained; Project success criteria met; Final acceptance signed</w:t>
      </w:r>
    </w:p>
    <w:p xmlns:wp14="http://schemas.microsoft.com/office/word/2010/wordml" w:rsidP="20A4ECC7" wp14:paraId="0894A2D9" wp14:textId="7169CFBA">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1.2 Out of Scope - The following items are explicitly excluded from this project scope: Application development or custom coding (beyond modernization activities), Hardware procurement or disposal, Software licensing costs (Client responsibility), Third-party vendor management, Business process reengineering, Data center decommissioning, Network circuit provisioning, End-user device management, Training for end users (only IT staff training included), Post-project managed services (separate agreement required)</w:t>
      </w:r>
    </w:p>
    <w:p xmlns:wp14="http://schemas.microsoft.com/office/word/2010/wordml" w:rsidP="20A4ECC7" wp14:paraId="6D80AB1F" wp14:textId="4AE4E4D4">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1.3 Change Management - Any changes to the project scope must be documented through a formal Change Request process: 1. Change request submitted in writing 2. Impact assessment (cost, schedule, resources) 3. Client approval required for changes exceeding $25,000 or 2 weeks 4. Change order executed before work begins 5. Project plan updated to reflect changes</w:t>
      </w:r>
    </w:p>
    <w:p xmlns:wp14="http://schemas.microsoft.com/office/word/2010/wordml" w:rsidP="20A4ECC7" wp14:paraId="6AEF1C4F" wp14:textId="43D0D663">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ARTICLE 2: PROJECT MANAGEMENT AND GOVERNANCE</w:t>
      </w:r>
    </w:p>
    <w:p xmlns:wp14="http://schemas.microsoft.com/office/word/2010/wordml" w:rsidP="20A4ECC7" wp14:paraId="24AD46F1" wp14:textId="245A2C8B">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2.1 Project Organization | Service Provider Team: Program Manager: Sarah Johnson (dedicated full-time); Technical Lead: David Kim (dedicated full-time); Cloud Architects: 3 senior architects (dedicated); Migration Engineers: 8 engineers (dedicated); DevOps Engineers: 4 engineers (dedicated); Security Specialists: 2 specialists (dedicated); Quality Assurance: 3 QA engineers (dedicated); Technical Writers: 2 writers (part-time) | Client Team (Required): Executive Sponsor: CIO or equivalent; Project Manager: Dedicated full-time; Technical Lead: Dedicated full-time; Application Owners: As needed per application; Infrastructure Team: 4-6 engineers (dedicated); Security Team: 2 specialists (part-time); Business Stakeholders: As needed</w:t>
      </w:r>
    </w:p>
    <w:p xmlns:wp14="http://schemas.microsoft.com/office/word/2010/wordml" w:rsidP="20A4ECC7" wp14:paraId="1B05DCBB" wp14:textId="0F48C5FC">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2.2 Governance Structure | Steering Committee: Meets monthly; Members: Executive sponsors from both parties, program managers; Responsibilities: Strategic decisions, issue escalation, budget approval; Decision-making: Consensus-based | Project Management Office (PMO): Meets weekly; Members: Program managers, project managers, technical leads; Responsibilities: Project status, risk management, resource allocation; Deliverables: Weekly status reports, risk registers, issue logs | Technical Working Group: Meets daily (standup) and weekly (detailed review); Members: Technical leads, architects, engineers; Responsibilities: Technical decisions, design reviews, problem-solving; Deliverables: Technical documentation, architecture decisions | Change Advisory Board (CAB): Meets weekly; Members: Technical leads, application owners, operations; Responsibilities: Review and approve changes to production; Deliverables: Change approvals, implementation schedules</w:t>
      </w:r>
    </w:p>
    <w:p xmlns:wp14="http://schemas.microsoft.com/office/word/2010/wordml" w:rsidP="20A4ECC7" wp14:paraId="3BF08DF0" wp14:textId="25598479">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2.3 Communication Plan</w:t>
      </w:r>
    </w:p>
    <w:p xmlns:wp14="http://schemas.microsoft.com/office/word/2010/wordml" w:rsidP="20A4ECC7" wp14:paraId="35507592" wp14:textId="7E9E3247">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AUDIENCE | COMMUNICATION TYPE | FREQUENCY | OWNER Steering Committee | Executive dashboard | Monthly | Program Manager PMO | Status report | Weekly | Program Manager Technical Team | Standup meeting | Daily | Technical Lead Application Owners | Migration updates | Per wave | Migration Lead All Stakeholders | Newsletter | Bi-weekly | Communications Executive Leadership | Executive briefing | Quarterly | Program Manager</w:t>
      </w:r>
    </w:p>
    <w:p xmlns:wp14="http://schemas.microsoft.com/office/word/2010/wordml" w:rsidP="20A4ECC7" wp14:paraId="25A9E535" wp14:textId="0B057277">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2.4 Reporting Requirements | Weekly Status Report: Accomplishments and progress, Upcoming activities, Issues and risks, Budget and schedule status, Resource utilization | Monthly Executive Dashboard: Project health (RAG status), Milestone achievement, Budget vs. actual, Risk summary, Key decisions needed | Phase Completion Report: Phase objectives achieved, Deliverables completed, Lessons learned, Recommendations for next phase</w:t>
      </w:r>
    </w:p>
    <w:p xmlns:wp14="http://schemas.microsoft.com/office/word/2010/wordml" w:rsidP="20A4ECC7" wp14:paraId="0D94D8A2" wp14:textId="58D4046E">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2.5 Risk Management - Risk register maintained and updated weekly; Risks categorized by impact and probability; Mitigation plans for high and medium risks; Monthly risk review with Steering Committee; Escalation process for critical risks</w:t>
      </w:r>
    </w:p>
    <w:p xmlns:wp14="http://schemas.microsoft.com/office/word/2010/wordml" w:rsidP="20A4ECC7" wp14:paraId="51A2588E" wp14:textId="3453BAF2">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2.6 Quality Management - Quality assurance plan for each phase; Peer reviews for all deliverables; Testing strategy and test plans; Defect tracking and resolution; Quality metrics and reporting</w:t>
      </w:r>
    </w:p>
    <w:p xmlns:wp14="http://schemas.microsoft.com/office/word/2010/wordml" w:rsidP="20A4ECC7" wp14:paraId="5C1103DE" wp14:textId="5E2F61D2">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ARTICLE 3: FEES AND PAYMENT TERMS</w:t>
      </w:r>
    </w:p>
    <w:p xmlns:wp14="http://schemas.microsoft.com/office/word/2010/wordml" w:rsidP="20A4ECC7" wp14:paraId="745CD2FB" wp14:textId="568F2944">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3.1 Fixed Price Structure - This is a fixed-price agreement with the following total project cost:</w:t>
      </w:r>
    </w:p>
    <w:p xmlns:wp14="http://schemas.microsoft.com/office/word/2010/wordml" w:rsidP="20A4ECC7" wp14:paraId="5057C8A6" wp14:textId="1B515720">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PHASE | DURATION | FIXED PRICE Phase 1: Discovery and Assessment | 2 months | $450,000 Phase 2: Foundation and Landing Zone | 2 months | $650,000 Phase 3: Pilot Migration | 2 months | $550,000 Phase 4: Wave 1 Migration | 3 months | $1,200,000 Phase 5: Wave 2 Migration | 3 months | $1,500,000 Phase 6: Wave 3 Migration | 3 months | $1,350,000 Phase 7: Optimization and Stabilization | 3 months | $800,000 TOTAL PROJECT COST | 18 months | $6,500,000</w:t>
      </w:r>
    </w:p>
    <w:p xmlns:wp14="http://schemas.microsoft.com/office/word/2010/wordml" w:rsidP="20A4ECC7" wp14:paraId="3899E97E" wp14:textId="36F1076B">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3.2 Payment Schedule - Payments are milestone-based and tied to deliverable acceptance: Phase 1: 50% upon phase start: $225,000; 50% upon phase completion and acceptance: $225,000 | Phase 2: 40% upon phase start: $260,000; 60% upon phase completion and acceptance: $390,000 | Phase 3: 30% upon phase start: $165,000; 70% upon phase completion and acceptance: $385,000 | Phases 4-7: 25% upon phase start; 75% upon phase completion and acceptance</w:t>
      </w:r>
    </w:p>
    <w:p xmlns:wp14="http://schemas.microsoft.com/office/word/2010/wordml" w:rsidP="20A4ECC7" wp14:paraId="16556822" wp14:textId="4CE3ABEF">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3.3 Acceptance Process - For each phase: 1. Service Provider submits deliverables 2. Client has 10 business days to review 3. Client provides acceptance or detailed rejection 4. If rejected, Service Provider has 5 business days to remediate 5. Process repeats until acceptance 6. Payment due within 30 days of acceptance</w:t>
      </w:r>
    </w:p>
    <w:p xmlns:wp14="http://schemas.microsoft.com/office/word/2010/wordml" w:rsidP="20A4ECC7" wp14:paraId="134D92A1" wp14:textId="12E84D19">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3.4 Additional Services - Services beyond the defined scope shall be billed at the following rates: Program Manager: $250; Senior Architect: $225; Cloud Architect: $200; Senior Engineer: $175; Engineer: $150; Specialist: $175; QA Engineer: $125 | Minimum engagement: 40 hours per resource; After-hours premium: 1.5x standard rate; Weekend/holiday premium: 2x standard rate</w:t>
      </w:r>
    </w:p>
    <w:p xmlns:wp14="http://schemas.microsoft.com/office/word/2010/wordml" w:rsidP="20A4ECC7" wp14:paraId="0B933067" wp14:textId="67737BBE">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3.5 Expenses - The following expenses are included in the fixed price: Travel for up to 4 on-site visits per month, Standard software tools and licenses, Training materials, Documentation | Additional expenses require pre-approval: International travel, Specialized tools or software, Third-party consulting services, Hardware or equipment</w:t>
      </w:r>
    </w:p>
    <w:p xmlns:wp14="http://schemas.microsoft.com/office/word/2010/wordml" w:rsidP="20A4ECC7" wp14:paraId="2FE07AF8" wp14:textId="2E84F6A8">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3.6 AWS Infrastructure Costs - AWS infrastructure costs are NOT included in the project price and shall be paid directly by Client to AWS. Service Provider shall: Provide monthly cost estimates, Implement cost optimization measures, Monitor and report on AWS spending, Recommend reserved instances and savings plans</w:t>
      </w:r>
    </w:p>
    <w:p xmlns:wp14="http://schemas.microsoft.com/office/word/2010/wordml" w:rsidP="20A4ECC7" wp14:paraId="24967EE2" wp14:textId="1C4199A8">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3.7 Payment Terms - Invoices issued upon milestone completion; Payment due within 30 days of invoice date; Payment method: Wire transfer or ACH; Late payments subject to 1.5% monthly interest; Service Provider may suspend work if payment 30+ days overdue</w:t>
      </w:r>
    </w:p>
    <w:p xmlns:wp14="http://schemas.microsoft.com/office/word/2010/wordml" w:rsidP="20A4ECC7" wp14:paraId="445FD003" wp14:textId="730A8437">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3.8 Price Adjustments - The fixed price may be adjusted only in the following circumstances: Approved scope changes via change order process, Force majeure events lasting more than 30 days, Material changes in AWS pricing (&gt;20% increase), Regulatory or compliance requirement changes</w:t>
      </w:r>
    </w:p>
    <w:p xmlns:wp14="http://schemas.microsoft.com/office/word/2010/wordml" w:rsidP="20A4ECC7" wp14:paraId="622E313F" wp14:textId="36B25840">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ARTICLE 4: TERM, TERMINATION, AND WARRANTIES</w:t>
      </w:r>
    </w:p>
    <w:p xmlns:wp14="http://schemas.microsoft.com/office/word/2010/wordml" w:rsidP="20A4ECC7" wp14:paraId="7AC8D647" wp14:textId="076454EA">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4.1 Project Term - This Agreement shall commence on the Effective Date and continue for 18 months, unless earlier terminated or extended by mutual agreement. 4.2 Termination for Convenience - Client may terminate this Agreement for convenience upon 60 days' written notice. In such event: Client shall pay for all work completed through termination date; Client shall pay 25% of remaining contract value as termination fee; Service Provider shall provide transition assistance for 30 days. 4.3 Termination for Cause - Either party may terminate for cause if: Other party materially breaches and fails to cure within 30 days; Other party becomes insolvent or files for bankruptcy; Project is delayed more than 90 days due to other party's fault. 4.4 Effect of Termination - Upon termination: Service Provider delivers all work product completed to date; Client pays for all work completed and accepted; Service Provider returns all Client property and data; Confidentiality obligations continue; Licenses granted under Article 6 survive. 4.5 Warranty Period - Service Provider warrants that: Services will be performed in a professional manner; Deliverables will meet acceptance criteria; Migrated applications will function substantially as they did pre-migration; No data loss will occur during migration | Warranty Period: 90 days from final project acceptance | Warranty Remedies: Service Provider will correct defects at no charge; If defects cannot be corrected, refund of fees for defective deliverables; Client's sole remedy for warranty breach. 4.6 Warranty Exclusions - Warranties do not apply to: Issues caused by Client's modifications; Third-party software or services; Client's failure to follow procedures; Changes to AWS services beyond Service Provider's control; Issues caused by Client's infrastructure or applications</w:t>
      </w:r>
    </w:p>
    <w:p xmlns:wp14="http://schemas.microsoft.com/office/word/2010/wordml" w:rsidP="20A4ECC7" wp14:paraId="3402885D" wp14:textId="6390B9C2">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ARTICLE 5: RESPONSIBILITIES AND OBLIGATIONS</w:t>
      </w:r>
    </w:p>
    <w:p xmlns:wp14="http://schemas.microsoft.com/office/word/2010/wordml" w:rsidP="20A4ECC7" wp14:paraId="23F11241" wp14:textId="6C8C5B97">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5.1 Service Provider Obligations - Service Provider shall: (a) Provide qualified personnel with appropriate certifications (b) Follow AWS Well-Architected Framework principles (c) Implement security and compliance best practices (d) Maintain project schedule and budget (e) Provide regular status updates and reporting (f) Escalate issues and risks promptly (g) Maintain accurate documentation (h) Conduct knowledge transfer sessions (i) Provide warranty support as specified (j) Maintain professional liability insurance ($5M minimum)</w:t>
      </w:r>
    </w:p>
    <w:p xmlns:wp14="http://schemas.microsoft.com/office/word/2010/wordml" w:rsidP="20A4ECC7" wp14:paraId="3FE6B35D" wp14:textId="7CD20778">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5.2 Client Obligations - Client shall: (a) Provide timely access to systems, data, and personnel (b) Designate authorized decision-makers (c) Review and approve deliverables within specified timeframes (d) Provide accurate and complete information (e) Maintain AWS account and pay AWS costs (f) Provide necessary licenses for software being migrated (g) Coordinate with application owners and business units (h) Participate in testing and validation activities (i) Provide feedback and approvals in timely manner (j) Assign dedicated resources as specified in Section 2.1</w:t>
      </w:r>
    </w:p>
    <w:p xmlns:wp14="http://schemas.microsoft.com/office/word/2010/wordml" w:rsidP="20A4ECC7" wp14:paraId="76F130FA" wp14:textId="527ACC41">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5.3 Cooperation and Good Faith - Both parties agree to: Cooperate in good faith to achieve project objectives; Communicate openly and transparently; Escalate issues promptly; Work collaboratively to resolve problems; Share information necessary for project success</w:t>
      </w:r>
    </w:p>
    <w:p xmlns:wp14="http://schemas.microsoft.com/office/word/2010/wordml" w:rsidP="20A4ECC7" wp14:paraId="2F01547B" wp14:textId="02D7F79C">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5.4 Dependencies and Assumptions - Project success depends on: Client providing timely access and information; Application owners available for consultation; AWS services remaining available and stable; No major organizational changes during project; Adequate network bandwidth for migration; Client's infrastructure meeting minimum requirements</w:t>
      </w:r>
    </w:p>
    <w:p xmlns:wp14="http://schemas.microsoft.com/office/word/2010/wordml" w:rsidP="20A4ECC7" wp14:paraId="113A211B" wp14:textId="0E9F914C">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ARTICLE 6: INTELLECTUAL PROPERTY RIGHTS</w:t>
      </w:r>
    </w:p>
    <w:p xmlns:wp14="http://schemas.microsoft.com/office/word/2010/wordml" w:rsidP="20A4ECC7" wp14:paraId="51BA3C6C" wp14:textId="57E3FBCE">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6.1 Client Property - Client retains all rights to: Client data and information, Existing applications and systems, Business processes and methodologies, Client's intellectual property. 6.2 Service Provider Property - Service Provider retains all rights to: Pre-existing methodologies and tools, Proprietary frameworks and accelerators, Templates and documentation (generic), Service Provider's intellectual property. 6.3 Work Product - All work product created specifically for Client under this Agreement, including: Architecture designs and documentation, Custom scripts and automation, Migration procedures and runbooks, Training materials, Project documentation | Shall be owned by Client upon final payment. Service Provider retains right to use for internal purposes and to create generic versions for other clients. 6.4 Open Source Software - Service Provider may use open source software in deliverables, provided: Licenses are compatible with Client's use, Client is notified of all open source components, No viral licenses that affect Client's proprietary code, Compliance with all open source license terms. 6.5 Third-Party Software - Client is responsible for obtaining and maintaining licenses for: Operating systems, Database software, Application software, Monitoring and management tools, Any other third-party software</w:t>
      </w:r>
    </w:p>
    <w:p xmlns:wp14="http://schemas.microsoft.com/office/word/2010/wordml" w:rsidP="20A4ECC7" wp14:paraId="12FBB579" wp14:textId="22EA286B">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ARTICLE 7: CONFIDENTIALITY AND DATA PROTECTION</w:t>
      </w:r>
    </w:p>
    <w:p xmlns:wp14="http://schemas.microsoft.com/office/word/2010/wordml" w:rsidP="20A4ECC7" wp14:paraId="24DA6890" wp14:textId="2F08A899">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7.1 Confidential Information - Each party agrees to protect the other's Confidential Information, including: Technical information and designs, Business strategies and plans, Financial information, Customer and employee data, Proprietary methodologies. 7.2 Data Protection - Service Provider shall: Implement appropriate security controls, Encrypt data in transit and at rest, Limit access to authorized personnel only, Comply with applicable data protection laws, Report any data breaches within 24 hours, Maintain cyber liability insurance ($10M minimum). 7.3 Data Processing Agreement - Service Provider acts as data processor for Client data. Terms of data processing are set forth in the Data Processing Agreement attached as Exhibit A. 7.4 Return of Data - Upon project completion or termination: Service Provider returns or destroys all Client data, Certification of destruction provided, No copies retained except as required by law, Backup tapes securely destroyed</w:t>
      </w:r>
    </w:p>
    <w:p xmlns:wp14="http://schemas.microsoft.com/office/word/2010/wordml" w:rsidP="20A4ECC7" wp14:paraId="123AF328" wp14:textId="75E3E219">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ARTICLE 8: LIMITATION OF LIABILITY AND INDEMNIFICATION</w:t>
      </w:r>
    </w:p>
    <w:p xmlns:wp14="http://schemas.microsoft.com/office/word/2010/wordml" w:rsidP="20A4ECC7" wp14:paraId="66602199" wp14:textId="79102EEB">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8.1 LIMITATION OF LIABILITY - EXCEPT FOR BREACHES OF CONFIDENTIALITY, DATA PROTECTION, OR INTELLECTUAL PROPERTY RIGHTS, NEITHER PARTY SHALL BE LIABLE FOR INDIRECT, INCIDENTAL, SPECIAL, CONSEQUENTIAL, OR PUNITIVE DAMAGES, INCLUDING LOST PROFITS OR LOST DATA. 8.2 LIABILITY CAP - EACH PARTY'S TOTAL LIABILITY SHALL NOT EXCEED THE TOTAL FEES PAID OR PAYABLE UNDER THIS AGREEMENT, EXCEPT FOR: Confidentiality breaches, Data protection violations, Intellectual property infringement, Gross negligence or willful misconduct. 8.3 Indemnification by Service Provider - Service Provider shall indemnify Client against claims arising from: Service Provider's negligence or willful misconduct, Infringement of third-party intellectual property, Violation of laws by Service Provider, Data breaches caused by Service Provider. 8.4 Indemnification by Client - Client shall indemnify Service Provider against claims arising from: Client data or Client's applications, Client's violation of laws or regulations, Client's intellectual property, Third-party claims related to Client's business</w:t>
      </w:r>
    </w:p>
    <w:p xmlns:wp14="http://schemas.microsoft.com/office/word/2010/wordml" w:rsidP="20A4ECC7" wp14:paraId="1D7ADCB1" wp14:textId="0883981D">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ARTICLE 9: GENERAL PROVISIONS</w:t>
      </w:r>
    </w:p>
    <w:p xmlns:wp14="http://schemas.microsoft.com/office/word/2010/wordml" w:rsidP="20A4ECC7" wp14:paraId="511FF449" wp14:textId="0106F090">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9.1 Governing Law - This Agreement shall be governed by the laws of the State of California. 9.2 Dispute Resolution - Disputes shall be resolved through: 1. Good faith negotiation (30 days) 2. Mediation (30 days) 3. Binding arbitration in San Francisco, California. 9.3 Force Majeure - Neither party liable for delays due to events beyond reasonable control, including: Natural disasters, War or terrorism, Pandemics, Government actions, AWS service outages beyond Service Provider's control. 9.4 Insurance - Service Provider shall maintain: Professional Liability: $5,000,000; Cyber Liability: $10,000,000; General Liability: $2,000,000; Workers' Compensation: Statutory limits. 9.5 Independent Contractors - Parties are independent contractors. No partnership, joint venture, or employment relationship created. 9.6 Assignment - Neither party may assign without consent, except to successor entity in merger or acquisition. 9.7 Entire Agreement - This Agreement, including all exhibits, constitutes the entire agreement and supersedes all prior agreements. 9.8 Amendments - Amendments must be in writing and signed by both parties. 9.9 Notices - All notices in writing to addresses in preamble or as updated by notice. 9.10 Severability - Invalid provisions shall not affect remaining provisions. 9.11 Publicity - Neither party shall issue press releases without prior written consent.</w:t>
      </w:r>
    </w:p>
    <w:p xmlns:wp14="http://schemas.microsoft.com/office/word/2010/wordml" w:rsidP="20A4ECC7" wp14:paraId="6E6A674A" wp14:textId="574C3458">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SIGNATURE PAGE</w:t>
      </w:r>
    </w:p>
    <w:p xmlns:wp14="http://schemas.microsoft.com/office/word/2010/wordml" w:rsidP="20A4ECC7" wp14:paraId="301BF6EF" wp14:textId="4A96CBF6">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IN WITNESS WHEREOF, the parties have executed this Agreement as of the Effective Date.</w:t>
      </w:r>
    </w:p>
    <w:p xmlns:wp14="http://schemas.microsoft.com/office/word/2010/wordml" w:rsidP="20A4ECC7" wp14:paraId="16079B96" wp14:textId="602D759F">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SERVICE PROVIDER: CloudFirst Consulting Partners Inc. Signature: ______________________________ Name: James Mitchell Title: Chief Executive Officer Date: April 1, 2026</w:t>
      </w:r>
    </w:p>
    <w:p xmlns:wp14="http://schemas.microsoft.com/office/word/2010/wordml" w:rsidP="20A4ECC7" wp14:paraId="457D7310" wp14:textId="785169C1">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CLIENT: National Retail Corporation Signature: ______________________________ Name: Rebecca Thompson Title: Chief Information Officer Date: April 1, 2026</w:t>
      </w:r>
    </w:p>
    <w:p xmlns:wp14="http://schemas.microsoft.com/office/word/2010/wordml" w:rsidP="20A4ECC7" wp14:paraId="0AD31616" wp14:textId="2D7031C1">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EXHIBIT A: DATA PROCESSING AGREEMENT [GDPR and CCPA compliant data processing terms] EXHIBIT B: SECURITY REQUIREMENTS [Detailed security controls and compliance requirements] EXHIBIT C: APPLICATION INVENTORY [List of 200+ applications with migration approach] EXHIBIT D: SUCCESS CRITERIA AND KPIs</w:t>
      </w:r>
    </w:p>
    <w:p xmlns:wp14="http://schemas.microsoft.com/office/word/2010/wordml" w:rsidP="20A4ECC7" wp14:paraId="074AA22F" wp14:textId="61CD59D9">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Performance KPIs: Application availability: 99.9%; Application response time: &lt;2 seconds; Migration success rate: 98%; Zero data loss</w:t>
      </w:r>
    </w:p>
    <w:p xmlns:wp14="http://schemas.microsoft.com/office/word/2010/wordml" w:rsidP="20A4ECC7" wp14:paraId="7F7E6CA1" wp14:textId="4BEE7E57">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Business KPIs: Infrastructure cost reduction: 40%; Deployment frequency: 10x improvement; Mean time to recovery: 75% reduction; Security incidents: 50% reduction</w:t>
      </w:r>
    </w:p>
    <w:p xmlns:wp14="http://schemas.microsoft.com/office/word/2010/wordml" w:rsidP="20A4ECC7" wp14:paraId="4CE4F773" wp14:textId="65DF6D4E">
      <w:pPr>
        <w:spacing w:before="240" w:beforeAutospacing="off" w:after="240" w:afterAutospacing="off"/>
      </w:pPr>
      <w:r w:rsidRPr="20A4ECC7" w:rsidR="3FF20A7D">
        <w:rPr>
          <w:rFonts w:ascii="Times New Roman" w:hAnsi="Times New Roman" w:eastAsia="Times New Roman" w:cs="Times New Roman"/>
          <w:noProof w:val="0"/>
          <w:sz w:val="24"/>
          <w:szCs w:val="24"/>
          <w:lang w:val="en-US"/>
        </w:rPr>
        <w:t>END OF AGREEMENT</w:t>
      </w:r>
    </w:p>
    <w:p xmlns:wp14="http://schemas.microsoft.com/office/word/2010/wordml" wp14:paraId="2C078E63" wp14:textId="0ED7439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2">
    <w:nsid w:val="5b0f0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cd1c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8273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591e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b37f6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ca38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d6f9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5f92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66a39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20dc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95b5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36e7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aaa2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5055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1715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93a6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e1f9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a84a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69d0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cbb6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f027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f47f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f7f9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05e7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ea17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4beb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b2e1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c0ea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9f5e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749b2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b95d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84ef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0cac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cf67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3a8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bcfe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500f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f65a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4c28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3dec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6ecb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2714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46bd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fdd55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9a43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785dc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ae3c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b9cb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714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5c2c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171c9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fa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db98d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86b3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da8c4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27b2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3a65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18c1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5fcd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21774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de38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cca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F3098B"/>
    <w:rsid w:val="047D4276"/>
    <w:rsid w:val="089C3304"/>
    <w:rsid w:val="0CC06B01"/>
    <w:rsid w:val="0DBFEAEC"/>
    <w:rsid w:val="20A4ECC7"/>
    <w:rsid w:val="20F3098B"/>
    <w:rsid w:val="2C8B0D03"/>
    <w:rsid w:val="31FABB08"/>
    <w:rsid w:val="363CB1C2"/>
    <w:rsid w:val="3D4F40D4"/>
    <w:rsid w:val="3FF20A7D"/>
    <w:rsid w:val="47DDF9B4"/>
    <w:rsid w:val="49399473"/>
    <w:rsid w:val="4C51A5C3"/>
    <w:rsid w:val="57254732"/>
    <w:rsid w:val="5EB14F3F"/>
    <w:rsid w:val="5F06F22E"/>
    <w:rsid w:val="6D162D45"/>
    <w:rsid w:val="73E0FD70"/>
    <w:rsid w:val="7F98E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55EC8"/>
  <w15:chartTrackingRefBased/>
  <w15:docId w15:val="{E07FC961-6894-4646-A4E0-3B044D8C27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C51A5C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C51A5C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C51A5C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C51A5C3"/>
    <w:pPr>
      <w:spacing/>
      <w:ind w:left="720"/>
      <w:contextualSpacing/>
    </w:pPr>
  </w:style>
  <w:style w:type="character" w:styleId="Hyperlink">
    <w:uiPriority w:val="99"/>
    <w:name w:val="Hyperlink"/>
    <w:basedOn w:val="DefaultParagraphFont"/>
    <w:unhideWhenUsed/>
    <w:rsid w:val="4C51A5C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9f24df5eb3d43fe" /><Relationship Type="http://schemas.openxmlformats.org/officeDocument/2006/relationships/hyperlink" Target="http://www.cloudfirst-consulting.com/" TargetMode="External" Id="Rf311ebfce1ac4fb3" /><Relationship Type="http://schemas.openxmlformats.org/officeDocument/2006/relationships/hyperlink" Target="mailto:projects@cloudfirst-consulting.com" TargetMode="External" Id="R3e86a44bce2c40b9" /><Relationship Type="http://schemas.openxmlformats.org/officeDocument/2006/relationships/hyperlink" Target="http://www.nationalretail.com/" TargetMode="External" Id="R1a666f9f96e449e4" /><Relationship Type="http://schemas.openxmlformats.org/officeDocument/2006/relationships/hyperlink" Target="mailto:digital-transformation@nationalretail.com" TargetMode="External" Id="R8423f121cd0d42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2026-04-11T17:11:59.3437240Z</dcterms:created>
  <dcterms:modified xsi:type="dcterms:W3CDTF">2026-04-11T17:33:59.5241497Z</dcterms:modified>
  <dc:creator>Srikar Lanka</dc:creator>
  <lastModifiedBy>Srikar Lanka</lastModifiedBy>
</coreProperties>
</file>