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QMS Platform README Update Draft</w:t>
      </w:r>
    </w:p>
    <w:p>
      <w:pPr>
        <w:jc w:val="center"/>
      </w:pPr>
      <w:r>
        <w:rPr>
          <w:i/>
        </w:rPr>
        <w:t>Representation and Measurement Assurance</w:t>
      </w:r>
    </w:p>
    <w:p>
      <w:pPr>
        <w:pStyle w:val="Heading1"/>
      </w:pPr>
      <w:r>
        <w:t>Representation and Measurement Assurance</w:t>
      </w:r>
    </w:p>
    <w:p>
      <w:r>
        <w:t>QMS now includes a representation-diagnostics layer in addition to observability and reconstruction assurance.</w:t>
      </w:r>
    </w:p>
    <w:p>
      <w:r>
        <w:t>Current stack:</w:t>
      </w:r>
    </w:p>
    <w:p>
      <w:pPr>
        <w:pStyle w:val="ListBullet"/>
      </w:pPr>
      <w:r>
        <w:t>raw measurement</w:t>
      </w:r>
    </w:p>
    <w:p>
      <w:pPr>
        <w:pStyle w:val="ListBullet"/>
      </w:pPr>
      <w:r>
        <w:t>representation diagnostics</w:t>
      </w:r>
    </w:p>
    <w:p>
      <w:pPr>
        <w:pStyle w:val="ListBullet"/>
      </w:pPr>
      <w:r>
        <w:t>observability diagnostics</w:t>
      </w:r>
    </w:p>
    <w:p>
      <w:pPr>
        <w:pStyle w:val="ListBullet"/>
      </w:pPr>
      <w:r>
        <w:t>reconstruction assurance</w:t>
      </w:r>
    </w:p>
    <w:p>
      <w:pPr>
        <w:pStyle w:val="ListBullet"/>
      </w:pPr>
      <w:r>
        <w:t>error decomposition</w:t>
      </w:r>
    </w:p>
    <w:p>
      <w:pPr>
        <w:pStyle w:val="ListBullet"/>
      </w:pPr>
      <w:r>
        <w:t>measurement-state interpretation</w:t>
      </w:r>
    </w:p>
    <w:p>
      <w:r>
        <w:t>Representation diagnostics include covariance spectrum, participation-ratio effective dimension, explained-variance fraction, and observable sensitivity.</w:t>
      </w:r>
    </w:p>
    <w:p>
      <w:r>
        <w:rPr>
          <w:b/>
        </w:rPr>
        <w:t>Current validation: 9 representation tests passed.</w:t>
      </w:r>
    </w:p>
    <w:p>
      <w:r>
        <w:t>QMS-REP-001 through QMS-REP-004 show that representation complexity and measurement usefulness are not equivalent. Fine representation geometry remains measurement-condition dependent.</w:t>
      </w:r>
    </w:p>
    <w:p>
      <w:pPr>
        <w:pStyle w:val="Heading2"/>
      </w:pPr>
      <w:r>
        <w:t>Expanded Real-Measurement Validation</w:t>
      </w:r>
    </w:p>
    <w:p>
      <w:r>
        <w:t>Real-measurement validation now spans:</w:t>
      </w:r>
    </w:p>
    <w:p>
      <w:pPr>
        <w:pStyle w:val="ListBullet"/>
      </w:pPr>
      <w:r>
        <w:t>superconducting-qubit IQ measurements</w:t>
      </w:r>
    </w:p>
    <w:p>
      <w:pPr>
        <w:pStyle w:val="ListBullet"/>
      </w:pPr>
      <w:r>
        <w:t>spatial single-photon detector measurements</w:t>
      </w:r>
    </w:p>
    <w:p>
      <w:r>
        <w:t>Across four Glasgow acquisition conditions — Heralded Diffraction SM, Ghost Diffraction SM, Heralded Imaging MM set 1, and Ghost Imaging MM set 1 — the same distribution-level convergence and state-classification logic was transferred without dataset-specific retuning.</w:t>
      </w:r>
    </w:p>
    <w:p>
      <w:r>
        <w:t>Across the two 4070-frame diffraction acquisitions: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Cross-condition correlation</w:t>
            </w:r>
          </w:p>
        </w:tc>
      </w:tr>
      <w:tr>
        <w:tc>
          <w:tcPr>
            <w:tcW w:type="dxa" w:w="4968"/>
          </w:tcPr>
          <w:p>
            <w:r>
              <w:t>Cosine-to-final</w:t>
            </w:r>
          </w:p>
        </w:tc>
        <w:tc>
          <w:tcPr>
            <w:tcW w:type="dxa" w:w="4968"/>
          </w:tcPr>
          <w:p>
            <w:r>
              <w:t>~0.9969</w:t>
            </w:r>
          </w:p>
        </w:tc>
      </w:tr>
      <w:tr>
        <w:tc>
          <w:tcPr>
            <w:tcW w:type="dxa" w:w="4968"/>
          </w:tcPr>
          <w:p>
            <w:r>
              <w:t>JS-divergence-to-final</w:t>
            </w:r>
          </w:p>
        </w:tc>
        <w:tc>
          <w:tcPr>
            <w:tcW w:type="dxa" w:w="4968"/>
          </w:tcPr>
          <w:p>
            <w:r>
              <w:t>~0.9970</w:t>
            </w:r>
          </w:p>
        </w:tc>
      </w:tr>
    </w:tbl>
    <w:p>
      <w:r>
        <w:t>The normalized first-drift positions across the four acquisitions were: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Normalized first-drift position</w:t>
            </w:r>
          </w:p>
        </w:tc>
      </w:tr>
      <w:tr>
        <w:tc>
          <w:tcPr>
            <w:tcW w:type="dxa" w:w="4968"/>
          </w:tcPr>
          <w:p>
            <w:r>
              <w:t>Heralded Diffraction SM</w:t>
            </w:r>
          </w:p>
        </w:tc>
        <w:tc>
          <w:tcPr>
            <w:tcW w:type="dxa" w:w="4968"/>
          </w:tcPr>
          <w:p>
            <w:r>
              <w:t>0.750</w:t>
            </w:r>
          </w:p>
        </w:tc>
      </w:tr>
      <w:tr>
        <w:tc>
          <w:tcPr>
            <w:tcW w:type="dxa" w:w="4968"/>
          </w:tcPr>
          <w:p>
            <w:r>
              <w:t>Ghost Diffraction SM</w:t>
            </w:r>
          </w:p>
        </w:tc>
        <w:tc>
          <w:tcPr>
            <w:tcW w:type="dxa" w:w="4968"/>
          </w:tcPr>
          <w:p>
            <w:r>
              <w:t>0.799</w:t>
            </w:r>
          </w:p>
        </w:tc>
      </w:tr>
      <w:tr>
        <w:tc>
          <w:tcPr>
            <w:tcW w:type="dxa" w:w="4968"/>
          </w:tcPr>
          <w:p>
            <w:r>
              <w:t>Heralded Imaging MM set 1</w:t>
            </w:r>
          </w:p>
        </w:tc>
        <w:tc>
          <w:tcPr>
            <w:tcW w:type="dxa" w:w="4968"/>
          </w:tcPr>
          <w:p>
            <w:r>
              <w:t>0.851</w:t>
            </w:r>
          </w:p>
        </w:tc>
      </w:tr>
      <w:tr>
        <w:tc>
          <w:tcPr>
            <w:tcW w:type="dxa" w:w="4968"/>
          </w:tcPr>
          <w:p>
            <w:r>
              <w:t>Ghost Imaging MM set 1</w:t>
            </w:r>
          </w:p>
        </w:tc>
        <w:tc>
          <w:tcPr>
            <w:tcW w:type="dxa" w:w="4968"/>
          </w:tcPr>
          <w:p>
            <w:r>
              <w:t>0.851</w:t>
            </w:r>
          </w:p>
        </w:tc>
      </w:tr>
    </w:tbl>
    <w:p>
      <w:r>
        <w:t>These are descriptive acquisition coordinates, not a universal drift threshold.</w:t>
      </w:r>
    </w:p>
    <w:p>
      <w:r>
        <w:t>Current evidence does not establish prospective causal early-warning capability, universal detector-health calibration, universal representation geometry, or cross-laboratory classifier transfer.</w:t>
      </w:r>
    </w:p>
    <w:p>
      <w:pPr>
        <w:pStyle w:val="Heading2"/>
      </w:pPr>
      <w:r>
        <w:t>Repository Document Reference</w:t>
      </w:r>
    </w:p>
    <w:p>
      <w:r>
        <w:t>A consolidated scientific report is included at:</w:t>
      </w:r>
    </w:p>
    <w:p>
      <w:r>
        <w:rPr>
          <w:b/>
        </w:rPr>
        <w:t>docs/QMS_Representation_and_Real_Measurement_Validation_Report.docx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