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QMS Platform</w:t>
        <w:br/>
        <w:t>Representation Diagnostics and Real-Measurement Validation</w:t>
      </w:r>
    </w:p>
    <w:p>
      <w:pPr>
        <w:jc w:val="center"/>
      </w:pPr>
      <w:r>
        <w:rPr>
          <w:i/>
        </w:rPr>
        <w:t>Scientific consolidation report | QMS-REP-001–004 and QMS-REAL-001–025</w:t>
      </w:r>
    </w:p>
    <w:p>
      <w:pPr>
        <w:pStyle w:val="Heading1"/>
      </w:pPr>
      <w:r>
        <w:t>1. Executive Summary</w:t>
      </w:r>
    </w:p>
    <w:p>
      <w:r>
        <w:t>This report consolidates the representation-diagnostics and real-measurement validation work added to the QMS Platform. The evidence supports a layered interpretation of measurement assurance: representation diagnostics characterize measurement structure; observability diagnostics determine whether the measurement can support reconstruction; reconstruction assurance checks physicality and residuals; and real-measurement studies test how these diagnostics behave across experimental data.</w:t>
      </w:r>
    </w:p>
    <w:p>
      <w:r>
        <w:t>The strongest current result is not universal detector-health prediction. Instead, QMS shows that distribution-level convergence diagnostics transfer more strongly than fine representation geometry. Across four Glasgow single-photon acquisitions spanning heralded/ghost and diffraction/imaging conditions, the same state-classification logic consistently identifies an acquisition-convergence phase followed by late-acquisition departure without dataset-specific retuning.</w:t>
      </w:r>
    </w:p>
    <w:p>
      <w:r>
        <w:t>Negative causal-drift experiments are retained explicitly. Current evidence does not establish prospective early-warning capability, a universal drift threshold, confirmed hardware degradation in the late Glasgow state, or cross-laboratory generality.</w:t>
      </w:r>
    </w:p>
    <w:p>
      <w:pPr>
        <w:pStyle w:val="Heading1"/>
      </w:pPr>
      <w:r>
        <w:t>2. Updated QMS Scientific Stack</w:t>
      </w:r>
    </w:p>
    <w:p>
      <w:pPr>
        <w:pStyle w:val="ListBullet"/>
      </w:pPr>
      <w:r>
        <w:t>Representation diagnostics — effective dimension, covariance spectrum, explained variance, candidate observable sensitivity.</w:t>
      </w:r>
    </w:p>
    <w:p>
      <w:pPr>
        <w:pStyle w:val="ListBullet"/>
      </w:pPr>
      <w:r>
        <w:t>Observability diagnostics — rank, conditioning, null-space structure, context criticality, state-dependent recoverability.</w:t>
      </w:r>
    </w:p>
    <w:p>
      <w:pPr>
        <w:pStyle w:val="ListBullet"/>
      </w:pPr>
      <w:r>
        <w:t>Reconstruction assurance — linear inversion, physicality checks, projection, maximum-likelihood estimation, residual analysis.</w:t>
      </w:r>
    </w:p>
    <w:p>
      <w:pPr>
        <w:pStyle w:val="ListBullet"/>
      </w:pPr>
      <w:r>
        <w:t>Error decomposition — structural information loss versus propagated measurement noise.</w:t>
      </w:r>
    </w:p>
    <w:p>
      <w:pPr>
        <w:pStyle w:val="ListBullet"/>
      </w:pPr>
      <w:r>
        <w:t>Measurement-state diagnostics — convergence/reference behavior and operational state classification.</w:t>
      </w:r>
    </w:p>
    <w:p>
      <w:pPr>
        <w:pStyle w:val="ListBullet"/>
      </w:pPr>
      <w:r>
        <w:t>Real-measurement validation — superconducting-qubit IQ and spatial single-photon detector data.</w:t>
      </w:r>
    </w:p>
    <w:p>
      <w:r>
        <w:t>The working QMS principle is: characterize the measurement → assess observability → reconstruct → quantify uncertainty/loss → validate the conclusion.</w:t>
      </w:r>
    </w:p>
    <w:p>
      <w:pPr>
        <w:pStyle w:val="Heading1"/>
      </w:pPr>
      <w:r>
        <w:t>3. Representation Diagnostics</w:t>
      </w:r>
    </w:p>
    <w:p>
      <w:r>
        <w:t>The representation layer is implemented in qms_core/representation.py. It includes covariance-spectrum analysis, participation-ratio effective dimension, explained-variance fraction, and observable sensitivity. The participation-ratio implementation was corrected to preserve scale invariance for very small covariance spectra.</w:t>
      </w:r>
    </w:p>
    <w:p>
      <w:pPr>
        <w:pStyle w:val="IntenseQuote"/>
      </w:pPr>
      <w:r>
        <w:t>Current test status: 9 representation tests passed.</w:t>
      </w:r>
    </w:p>
    <w:p>
      <w:pPr>
        <w:pStyle w:val="Heading2"/>
      </w:pPr>
      <w:r>
        <w:t>3.1 QMS-REP-001–004 findings</w:t>
      </w:r>
    </w:p>
    <w:p>
      <w:pPr>
        <w:pStyle w:val="ListBullet"/>
      </w:pPr>
      <w:r>
        <w:t>Noise can increase apparent representation complexity.</w:t>
      </w:r>
    </w:p>
    <w:p>
      <w:pPr>
        <w:pStyle w:val="ListBullet"/>
      </w:pPr>
      <w:r>
        <w:t>Increased representation complexity does not necessarily imply increased measurement usefulness.</w:t>
      </w:r>
    </w:p>
    <w:p>
      <w:pPr>
        <w:pStyle w:val="ListBullet"/>
      </w:pPr>
      <w:r>
        <w:t>Measurement consistency can correlate more strongly with reconstruction physicality failure than with reported Bell-state fidelity under linear inversion.</w:t>
      </w:r>
    </w:p>
    <w:p>
      <w:pPr>
        <w:pStyle w:val="ListBullet"/>
      </w:pPr>
      <w:r>
        <w:t>Fine representation geometry remains condition dependent and should not be treated as a universal health score.</w:t>
      </w:r>
    </w:p>
    <w:p>
      <w:pPr>
        <w:pStyle w:val="Heading1"/>
      </w:pPr>
      <w:r>
        <w:t>4. Real Superconducting-Qubit IQ Validation</w:t>
      </w:r>
    </w:p>
    <w:p>
      <w:r>
        <w:t>QMS-REAL-001 through QMS-REAL-005 analyze experimental IQ data from the ISTA all-optical superconducting-qubit readout dataset. Across six operating conditions, raw-IQ diagnostics track reported QND-fidelity degradation monotonically. Selected metrics remain stable under bootstrap resampling.</w:t>
      </w:r>
    </w:p>
    <w:p>
      <w:r>
        <w:t>A provisional Measurement Degradation Index was evaluated, but it remains reference specific. It is not established as a universal detector-health score.</w:t>
      </w:r>
    </w:p>
    <w:p>
      <w:pPr>
        <w:pStyle w:val="Heading1"/>
      </w:pPr>
      <w:r>
        <w:t>5. Glasgow Single-Photon Validation</w:t>
      </w:r>
    </w:p>
    <w:p>
      <w:r>
        <w:t>QMS operates directly on raw sparse 512 × 512 single-photon detector frames. The current transfer study covers four acquisition conditions:</w:t>
      </w:r>
    </w:p>
    <w:p>
      <w:pPr>
        <w:pStyle w:val="ListBullet"/>
      </w:pPr>
      <w:r>
        <w:t>Heralded Diffraction SM — 4070 raw frames.</w:t>
      </w:r>
    </w:p>
    <w:p>
      <w:pPr>
        <w:pStyle w:val="ListBullet"/>
      </w:pPr>
      <w:r>
        <w:t>Ghost Diffraction SM — 4070 raw frames.</w:t>
      </w:r>
    </w:p>
    <w:p>
      <w:pPr>
        <w:pStyle w:val="ListBullet"/>
      </w:pPr>
      <w:r>
        <w:t>Heralded Imaging MM set 1 — 1000 raw frames.</w:t>
      </w:r>
    </w:p>
    <w:p>
      <w:pPr>
        <w:pStyle w:val="ListBullet"/>
      </w:pPr>
      <w:r>
        <w:t>Ghost Imaging MM set 1 — 1000 raw frames.</w:t>
      </w:r>
    </w:p>
    <w:p>
      <w:pPr>
        <w:pStyle w:val="Heading2"/>
      </w:pPr>
      <w:r>
        <w:t>5.1 Distribution-level convergence</w:t>
      </w:r>
    </w:p>
    <w:p>
      <w:r>
        <w:t>Convergence is evaluated using cosine similarity and Jensen–Shannon divergence relative to the mature acquisition distribution. Across the two 4070-frame diffraction acquisitions, the temporal convergence trajectories are highly reproducible.</w:t>
      </w:r>
    </w:p>
    <w:tbl>
      <w:tblPr>
        <w:tblStyle w:val="TableGrid"/>
        <w:tblW w:type="auto" w:w="0"/>
        <w:tblLook w:firstColumn="1" w:firstRow="1" w:lastColumn="0" w:lastRow="0" w:noHBand="0" w:noVBand="1" w:val="04A0"/>
      </w:tblPr>
      <w:tblGrid>
        <w:gridCol w:w="3312"/>
        <w:gridCol w:w="3312"/>
        <w:gridCol w:w="3312"/>
      </w:tblGrid>
      <w:tr>
        <w:tc>
          <w:tcPr>
            <w:tcW w:type="dxa" w:w="3312"/>
          </w:tcPr>
          <w:p>
            <w:r>
              <w:t>Metric</w:t>
            </w:r>
          </w:p>
        </w:tc>
        <w:tc>
          <w:tcPr>
            <w:tcW w:type="dxa" w:w="3312"/>
          </w:tcPr>
          <w:p>
            <w:r>
              <w:t>Cross-condition correlation</w:t>
            </w:r>
          </w:p>
        </w:tc>
        <w:tc>
          <w:tcPr>
            <w:tcW w:type="dxa" w:w="3312"/>
          </w:tcPr>
          <w:p>
            <w:r>
              <w:t>Interpretation</w:t>
            </w:r>
          </w:p>
        </w:tc>
      </w:tr>
      <w:tr>
        <w:tc>
          <w:tcPr>
            <w:tcW w:type="dxa" w:w="3312"/>
          </w:tcPr>
          <w:p>
            <w:r>
              <w:t>Cosine-to-final</w:t>
            </w:r>
          </w:p>
        </w:tc>
        <w:tc>
          <w:tcPr>
            <w:tcW w:type="dxa" w:w="3312"/>
          </w:tcPr>
          <w:p>
            <w:r>
              <w:t>0.9969</w:t>
            </w:r>
          </w:p>
        </w:tc>
        <w:tc>
          <w:tcPr>
            <w:tcW w:type="dxa" w:w="3312"/>
          </w:tcPr>
          <w:p>
            <w:r>
              <w:t>Highly reproducible convergence trajectory</w:t>
            </w:r>
          </w:p>
        </w:tc>
      </w:tr>
      <w:tr>
        <w:tc>
          <w:tcPr>
            <w:tcW w:type="dxa" w:w="3312"/>
          </w:tcPr>
          <w:p>
            <w:r>
              <w:t>JS-divergence-to-final</w:t>
            </w:r>
          </w:p>
        </w:tc>
        <w:tc>
          <w:tcPr>
            <w:tcW w:type="dxa" w:w="3312"/>
          </w:tcPr>
          <w:p>
            <w:r>
              <w:t>0.9970</w:t>
            </w:r>
          </w:p>
        </w:tc>
        <w:tc>
          <w:tcPr>
            <w:tcW w:type="dxa" w:w="3312"/>
          </w:tcPr>
          <w:p>
            <w:r>
              <w:t>Highly reproducible convergence trajectory</w:t>
            </w:r>
          </w:p>
        </w:tc>
      </w:tr>
      <w:tr>
        <w:tc>
          <w:tcPr>
            <w:tcW w:type="dxa" w:w="3312"/>
          </w:tcPr>
          <w:p>
            <w:r>
              <w:t>Effective dimension</w:t>
            </w:r>
          </w:p>
        </w:tc>
        <w:tc>
          <w:tcPr>
            <w:tcW w:type="dxa" w:w="3312"/>
          </w:tcPr>
          <w:p>
            <w:r>
              <w:t>0.3205</w:t>
            </w:r>
          </w:p>
        </w:tc>
        <w:tc>
          <w:tcPr>
            <w:tcW w:type="dxa" w:w="3312"/>
          </w:tcPr>
          <w:p>
            <w:r>
              <w:t>Condition-dependent fine geometry</w:t>
            </w:r>
          </w:p>
        </w:tc>
      </w:tr>
      <w:tr>
        <w:tc>
          <w:tcPr>
            <w:tcW w:type="dxa" w:w="3312"/>
          </w:tcPr>
          <w:p>
            <w:r>
              <w:t>First-PC fraction</w:t>
            </w:r>
          </w:p>
        </w:tc>
        <w:tc>
          <w:tcPr>
            <w:tcW w:type="dxa" w:w="3312"/>
          </w:tcPr>
          <w:p>
            <w:r>
              <w:t>0.2622</w:t>
            </w:r>
          </w:p>
        </w:tc>
        <w:tc>
          <w:tcPr>
            <w:tcW w:type="dxa" w:w="3312"/>
          </w:tcPr>
          <w:p>
            <w:r>
              <w:t>Condition-dependent fine geometry</w:t>
            </w:r>
          </w:p>
        </w:tc>
      </w:tr>
    </w:tbl>
    <w:p>
      <w:r>
        <w:t>This supports a central architectural result: distribution-level convergence transfers more strongly than fine representation geometry.</w:t>
      </w:r>
    </w:p>
    <w:p>
      <w:pPr>
        <w:pStyle w:val="Heading2"/>
      </w:pPr>
      <w:r>
        <w:t>5.2 Measurement-state classifier transfer</w:t>
      </w:r>
    </w:p>
    <w:p>
      <w:r>
        <w:t>The classifier uses only the direction of change in smoothed convergence metrics and was transferred without dataset-specific retuning:</w:t>
      </w:r>
    </w:p>
    <w:p>
      <w:pPr>
        <w:pStyle w:val="ListBullet"/>
      </w:pPr>
      <w:r>
        <w:t>converging: Δ cosine &gt; 0 and Δ JS &lt; 0</w:t>
      </w:r>
    </w:p>
    <w:p>
      <w:pPr>
        <w:pStyle w:val="ListBullet"/>
      </w:pPr>
      <w:r>
        <w:t>drifting: Δ cosine &lt; 0 and Δ JS &gt; 0</w:t>
      </w:r>
    </w:p>
    <w:p>
      <w:pPr>
        <w:pStyle w:val="ListBullet"/>
      </w:pPr>
      <w:r>
        <w:t>stable_or_mixed: otherwise</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t>Dataset</w:t>
            </w:r>
          </w:p>
        </w:tc>
        <w:tc>
          <w:tcPr>
            <w:tcW w:type="dxa" w:w="2484"/>
          </w:tcPr>
          <w:p>
            <w:r>
              <w:t>Family</w:t>
            </w:r>
          </w:p>
        </w:tc>
        <w:tc>
          <w:tcPr>
            <w:tcW w:type="dxa" w:w="2484"/>
          </w:tcPr>
          <w:p>
            <w:r>
              <w:t>First drift position</w:t>
            </w:r>
          </w:p>
        </w:tc>
        <w:tc>
          <w:tcPr>
            <w:tcW w:type="dxa" w:w="2484"/>
          </w:tcPr>
          <w:p>
            <w:r>
              <w:t>State pattern</w:t>
            </w:r>
          </w:p>
        </w:tc>
      </w:tr>
      <w:tr>
        <w:tc>
          <w:tcPr>
            <w:tcW w:type="dxa" w:w="2484"/>
          </w:tcPr>
          <w:p>
            <w:r>
              <w:t>Heralded Diffraction SM</w:t>
            </w:r>
          </w:p>
        </w:tc>
        <w:tc>
          <w:tcPr>
            <w:tcW w:type="dxa" w:w="2484"/>
          </w:tcPr>
          <w:p>
            <w:r>
              <w:t>Diffraction</w:t>
            </w:r>
          </w:p>
        </w:tc>
        <w:tc>
          <w:tcPr>
            <w:tcW w:type="dxa" w:w="2484"/>
          </w:tcPr>
          <w:p>
            <w:r>
              <w:t>0.750</w:t>
            </w:r>
          </w:p>
        </w:tc>
        <w:tc>
          <w:tcPr>
            <w:tcW w:type="dxa" w:w="2484"/>
          </w:tcPr>
          <w:p>
            <w:r>
              <w:t>Converging → stable/mixed → drifting</w:t>
            </w:r>
          </w:p>
        </w:tc>
      </w:tr>
      <w:tr>
        <w:tc>
          <w:tcPr>
            <w:tcW w:type="dxa" w:w="2484"/>
          </w:tcPr>
          <w:p>
            <w:r>
              <w:t>Ghost Diffraction SM</w:t>
            </w:r>
          </w:p>
        </w:tc>
        <w:tc>
          <w:tcPr>
            <w:tcW w:type="dxa" w:w="2484"/>
          </w:tcPr>
          <w:p>
            <w:r>
              <w:t>Diffraction</w:t>
            </w:r>
          </w:p>
        </w:tc>
        <w:tc>
          <w:tcPr>
            <w:tcW w:type="dxa" w:w="2484"/>
          </w:tcPr>
          <w:p>
            <w:r>
              <w:t>0.799</w:t>
            </w:r>
          </w:p>
        </w:tc>
        <w:tc>
          <w:tcPr>
            <w:tcW w:type="dxa" w:w="2484"/>
          </w:tcPr>
          <w:p>
            <w:r>
              <w:t>Converging → stable/mixed → drifting</w:t>
            </w:r>
          </w:p>
        </w:tc>
      </w:tr>
      <w:tr>
        <w:tc>
          <w:tcPr>
            <w:tcW w:type="dxa" w:w="2484"/>
          </w:tcPr>
          <w:p>
            <w:r>
              <w:t>Heralded Imaging MM set 1</w:t>
            </w:r>
          </w:p>
        </w:tc>
        <w:tc>
          <w:tcPr>
            <w:tcW w:type="dxa" w:w="2484"/>
          </w:tcPr>
          <w:p>
            <w:r>
              <w:t>Imaging</w:t>
            </w:r>
          </w:p>
        </w:tc>
        <w:tc>
          <w:tcPr>
            <w:tcW w:type="dxa" w:w="2484"/>
          </w:tcPr>
          <w:p>
            <w:r>
              <w:t>0.851</w:t>
            </w:r>
          </w:p>
        </w:tc>
        <w:tc>
          <w:tcPr>
            <w:tcW w:type="dxa" w:w="2484"/>
          </w:tcPr>
          <w:p>
            <w:r>
              <w:t>Converging → drifting</w:t>
            </w:r>
          </w:p>
        </w:tc>
      </w:tr>
      <w:tr>
        <w:tc>
          <w:tcPr>
            <w:tcW w:type="dxa" w:w="2484"/>
          </w:tcPr>
          <w:p>
            <w:r>
              <w:t>Ghost Imaging MM set 1</w:t>
            </w:r>
          </w:p>
        </w:tc>
        <w:tc>
          <w:tcPr>
            <w:tcW w:type="dxa" w:w="2484"/>
          </w:tcPr>
          <w:p>
            <w:r>
              <w:t>Imaging</w:t>
            </w:r>
          </w:p>
        </w:tc>
        <w:tc>
          <w:tcPr>
            <w:tcW w:type="dxa" w:w="2484"/>
          </w:tcPr>
          <w:p>
            <w:r>
              <w:t>0.851</w:t>
            </w:r>
          </w:p>
        </w:tc>
        <w:tc>
          <w:tcPr>
            <w:tcW w:type="dxa" w:w="2484"/>
          </w:tcPr>
          <w:p>
            <w:r>
              <w:t>Converging → drifting</w:t>
            </w:r>
          </w:p>
        </w:tc>
      </w:tr>
    </w:tbl>
    <w:p>
      <w:r>
        <w:t>Across all four datasets, normalized first-drift position has mean 0.812, standard deviation 0.042, and range 0.750–0.851. These are descriptive acquisition coordinates, not a universal ~80% drift threshold.</w:t>
      </w:r>
    </w:p>
    <w:p>
      <w:pPr>
        <w:pStyle w:val="Heading1"/>
      </w:pPr>
      <w:r>
        <w:t>6. Causal Drift Experiments and Negative Results</w:t>
      </w:r>
    </w:p>
    <w:p>
      <w:r>
        <w:t>QMS-REAL-011 through QMS-REAL-016 tested whether the observed late redistribution could support prospective causal warning. The experiments intentionally preserve negative outcomes.</w:t>
      </w:r>
    </w:p>
    <w:tbl>
      <w:tblPr>
        <w:tblStyle w:val="TableGrid"/>
        <w:tblW w:type="auto" w:w="0"/>
        <w:tblLook w:firstColumn="1" w:firstRow="1" w:lastColumn="0" w:lastRow="0" w:noHBand="0" w:noVBand="1" w:val="04A0"/>
      </w:tblPr>
      <w:tblGrid>
        <w:gridCol w:w="3312"/>
        <w:gridCol w:w="3312"/>
        <w:gridCol w:w="3312"/>
      </w:tblGrid>
      <w:tr>
        <w:tc>
          <w:tcPr>
            <w:tcW w:type="dxa" w:w="3312"/>
          </w:tcPr>
          <w:p>
            <w:r>
              <w:t>Experiment</w:t>
            </w:r>
          </w:p>
        </w:tc>
        <w:tc>
          <w:tcPr>
            <w:tcW w:type="dxa" w:w="3312"/>
          </w:tcPr>
          <w:p>
            <w:r>
              <w:t>Method</w:t>
            </w:r>
          </w:p>
        </w:tc>
        <w:tc>
          <w:tcPr>
            <w:tcW w:type="dxa" w:w="3312"/>
          </w:tcPr>
          <w:p>
            <w:r>
              <w:t>Result</w:t>
            </w:r>
          </w:p>
        </w:tc>
      </w:tr>
      <w:tr>
        <w:tc>
          <w:tcPr>
            <w:tcW w:type="dxa" w:w="3312"/>
          </w:tcPr>
          <w:p>
            <w:r>
              <w:t>REAL-011</w:t>
            </w:r>
          </w:p>
        </w:tc>
        <w:tc>
          <w:tcPr>
            <w:tcW w:type="dxa" w:w="3312"/>
          </w:tcPr>
          <w:p>
            <w:r>
              <w:t>Retrospective change point</w:t>
            </w:r>
          </w:p>
        </w:tc>
        <w:tc>
          <w:tcPr>
            <w:tcW w:type="dxa" w:w="3312"/>
          </w:tcPr>
          <w:p>
            <w:r>
              <w:t>Detected dominant earlier convergence/saturation, not a specific late-drift precursor.</w:t>
            </w:r>
          </w:p>
        </w:tc>
      </w:tr>
      <w:tr>
        <w:tc>
          <w:tcPr>
            <w:tcW w:type="dxa" w:w="3312"/>
          </w:tcPr>
          <w:p>
            <w:r>
              <w:t>REAL-012</w:t>
            </w:r>
          </w:p>
        </w:tc>
        <w:tc>
          <w:tcPr>
            <w:tcW w:type="dxa" w:w="3312"/>
          </w:tcPr>
          <w:p>
            <w:r>
              <w:t>Rolling causal reference</w:t>
            </w:r>
          </w:p>
        </w:tc>
        <w:tc>
          <w:tcPr>
            <w:tcW w:type="dxa" w:w="3312"/>
          </w:tcPr>
          <w:p>
            <w:r>
              <w:t>No warnings or alerts; adaptive reference absorbed gradual redistribution.</w:t>
            </w:r>
          </w:p>
        </w:tc>
      </w:tr>
      <w:tr>
        <w:tc>
          <w:tcPr>
            <w:tcW w:type="dxa" w:w="3312"/>
          </w:tcPr>
          <w:p>
            <w:r>
              <w:t>REAL-013</w:t>
            </w:r>
          </w:p>
        </w:tc>
        <w:tc>
          <w:tcPr>
            <w:tcW w:type="dxa" w:w="3312"/>
          </w:tcPr>
          <w:p>
            <w:r>
              <w:t>Frozen early reference</w:t>
            </w:r>
          </w:p>
        </w:tc>
        <w:tc>
          <w:tcPr>
            <w:tcW w:type="dxa" w:w="3312"/>
          </w:tcPr>
          <w:p>
            <w:r>
              <w:t>Many premature alerts because the early acquisition was not stationary.</w:t>
            </w:r>
          </w:p>
        </w:tc>
      </w:tr>
      <w:tr>
        <w:tc>
          <w:tcPr>
            <w:tcW w:type="dxa" w:w="3312"/>
          </w:tcPr>
          <w:p>
            <w:r>
              <w:t>REAL-014</w:t>
            </w:r>
          </w:p>
        </w:tc>
        <w:tc>
          <w:tcPr>
            <w:tcW w:type="dxa" w:w="3312"/>
          </w:tcPr>
          <w:p>
            <w:r>
              <w:t>Automatic baseline lock</w:t>
            </w:r>
          </w:p>
        </w:tc>
        <w:tc>
          <w:tcPr>
            <w:tcW w:type="dxa" w:w="3312"/>
          </w:tcPr>
          <w:p>
            <w:r>
              <w:t>Improved baseline selection but still alerted too early.</w:t>
            </w:r>
          </w:p>
        </w:tc>
      </w:tr>
      <w:tr>
        <w:tc>
          <w:tcPr>
            <w:tcW w:type="dxa" w:w="3312"/>
          </w:tcPr>
          <w:p>
            <w:r>
              <w:t>REAL-015</w:t>
            </w:r>
          </w:p>
        </w:tc>
        <w:tc>
          <w:tcPr>
            <w:tcW w:type="dxa" w:w="3312"/>
          </w:tcPr>
          <w:p>
            <w:r>
              <w:t>Persistent thresholds</w:t>
            </w:r>
          </w:p>
        </w:tc>
        <w:tc>
          <w:tcPr>
            <w:tcW w:type="dxa" w:w="3312"/>
          </w:tcPr>
          <w:p>
            <w:r>
              <w:t>Delayed alert, but baseline departure still preceded retrospective transition.</w:t>
            </w:r>
          </w:p>
        </w:tc>
      </w:tr>
      <w:tr>
        <w:tc>
          <w:tcPr>
            <w:tcW w:type="dxa" w:w="3312"/>
          </w:tcPr>
          <w:p>
            <w:r>
              <w:t>REAL-016</w:t>
            </w:r>
          </w:p>
        </w:tc>
        <w:tc>
          <w:tcPr>
            <w:tcW w:type="dxa" w:w="3312"/>
          </w:tcPr>
          <w:p>
            <w:r>
              <w:t>Causal JS-slope acceleration</w:t>
            </w:r>
          </w:p>
        </w:tc>
        <w:tc>
          <w:tcPr>
            <w:tcW w:type="dxa" w:w="3312"/>
          </w:tcPr>
          <w:p>
            <w:r>
              <w:t>No warning or alert under the tested formulation.</w:t>
            </w:r>
          </w:p>
        </w:tc>
      </w:tr>
    </w:tbl>
    <w:p>
      <w:r>
        <w:t>Current conclusion: prospective causal early-warning capability has not been established.</w:t>
      </w:r>
    </w:p>
    <w:p>
      <w:pPr>
        <w:pStyle w:val="Heading1"/>
      </w:pPr>
      <w:r>
        <w:t>7. Evidence Registry and Reproducibility</w:t>
      </w:r>
    </w:p>
    <w:p>
      <w:r>
        <w:t>QMS-REAL-024 consolidates scientific claims into explicit evidence classes. QMS-REAL-025 provides a reproducibility and provenance manifest.</w:t>
      </w:r>
    </w:p>
    <w:tbl>
      <w:tblPr>
        <w:tblStyle w:val="TableGrid"/>
        <w:tblW w:type="auto" w:w="0"/>
        <w:tblLook w:firstColumn="1" w:firstRow="1" w:lastColumn="0" w:lastRow="0" w:noHBand="0" w:noVBand="1" w:val="04A0"/>
      </w:tblPr>
      <w:tblGrid>
        <w:gridCol w:w="4968"/>
        <w:gridCol w:w="4968"/>
      </w:tblGrid>
      <w:tr>
        <w:tc>
          <w:tcPr>
            <w:tcW w:type="dxa" w:w="4968"/>
          </w:tcPr>
          <w:p>
            <w:r>
              <w:t>Evidence class</w:t>
            </w:r>
          </w:p>
        </w:tc>
        <w:tc>
          <w:tcPr>
            <w:tcW w:type="dxa" w:w="4968"/>
          </w:tcPr>
          <w:p>
            <w:r>
              <w:t>Count</w:t>
            </w:r>
          </w:p>
        </w:tc>
      </w:tr>
      <w:tr>
        <w:tc>
          <w:tcPr>
            <w:tcW w:type="dxa" w:w="4968"/>
          </w:tcPr>
          <w:p>
            <w:r>
              <w:t>Validated findings</w:t>
            </w:r>
          </w:p>
        </w:tc>
        <w:tc>
          <w:tcPr>
            <w:tcW w:type="dxa" w:w="4968"/>
          </w:tcPr>
          <w:p>
            <w:r>
              <w:t>6</w:t>
            </w:r>
          </w:p>
        </w:tc>
      </w:tr>
      <w:tr>
        <w:tc>
          <w:tcPr>
            <w:tcW w:type="dxa" w:w="4968"/>
          </w:tcPr>
          <w:p>
            <w:r>
              <w:t>Provisional heuristics</w:t>
            </w:r>
          </w:p>
        </w:tc>
        <w:tc>
          <w:tcPr>
            <w:tcW w:type="dxa" w:w="4968"/>
          </w:tcPr>
          <w:p>
            <w:r>
              <w:t>2</w:t>
            </w:r>
          </w:p>
        </w:tc>
      </w:tr>
      <w:tr>
        <w:tc>
          <w:tcPr>
            <w:tcW w:type="dxa" w:w="4968"/>
          </w:tcPr>
          <w:p>
            <w:r>
              <w:t>Transfer/robustness</w:t>
            </w:r>
          </w:p>
        </w:tc>
        <w:tc>
          <w:tcPr>
            <w:tcW w:type="dxa" w:w="4968"/>
          </w:tcPr>
          <w:p>
            <w:r>
              <w:t>1</w:t>
            </w:r>
          </w:p>
        </w:tc>
      </w:tr>
      <w:tr>
        <w:tc>
          <w:tcPr>
            <w:tcW w:type="dxa" w:w="4968"/>
          </w:tcPr>
          <w:p>
            <w:r>
              <w:t>Exploratory</w:t>
            </w:r>
          </w:p>
        </w:tc>
        <w:tc>
          <w:tcPr>
            <w:tcW w:type="dxa" w:w="4968"/>
          </w:tcPr>
          <w:p>
            <w:r>
              <w:t>1</w:t>
            </w:r>
          </w:p>
        </w:tc>
      </w:tr>
      <w:tr>
        <w:tc>
          <w:tcPr>
            <w:tcW w:type="dxa" w:w="4968"/>
          </w:tcPr>
          <w:p>
            <w:r>
              <w:t>Negative results</w:t>
            </w:r>
          </w:p>
        </w:tc>
        <w:tc>
          <w:tcPr>
            <w:tcW w:type="dxa" w:w="4968"/>
          </w:tcPr>
          <w:p>
            <w:r>
              <w:t>6</w:t>
            </w:r>
          </w:p>
        </w:tc>
      </w:tr>
      <w:tr>
        <w:tc>
          <w:tcPr>
            <w:tcW w:type="dxa" w:w="4968"/>
          </w:tcPr>
          <w:p>
            <w:r>
              <w:t>Transfer findings</w:t>
            </w:r>
          </w:p>
        </w:tc>
        <w:tc>
          <w:tcPr>
            <w:tcW w:type="dxa" w:w="4968"/>
          </w:tcPr>
          <w:p>
            <w:r>
              <w:t>7</w:t>
            </w:r>
          </w:p>
        </w:tc>
      </w:tr>
      <w:tr>
        <w:tc>
          <w:tcPr>
            <w:tcW w:type="dxa" w:w="4968"/>
          </w:tcPr>
          <w:p>
            <w:r>
              <w:t>Evidence registry</w:t>
            </w:r>
          </w:p>
        </w:tc>
        <w:tc>
          <w:tcPr>
            <w:tcW w:type="dxa" w:w="4968"/>
          </w:tcPr>
          <w:p>
            <w:r>
              <w:t>1</w:t>
            </w:r>
          </w:p>
        </w:tc>
      </w:tr>
    </w:tbl>
    <w:p>
      <w:r>
        <w:t>QMS-REAL-025 status: 24 experiments declared; missing scripts: none; missing evidence: none; all declared scripts present: true; all declared evidence present: true.</w:t>
      </w:r>
    </w:p>
    <w:p>
      <w:pPr>
        <w:pStyle w:val="Heading1"/>
      </w:pPr>
      <w:r>
        <w:t>8. Current Defensible Claims</w:t>
      </w:r>
    </w:p>
    <w:p>
      <w:pPr>
        <w:pStyle w:val="ListNumber"/>
      </w:pPr>
      <w:r>
        <w:t>QMS supports label-free representation diagnostics across at least two distinct real quantum measurement modalities: superconducting-qubit IQ and spatial single-photon detection.</w:t>
      </w:r>
    </w:p>
    <w:p>
      <w:pPr>
        <w:pStyle w:val="ListNumber"/>
      </w:pPr>
      <w:r>
        <w:t>Distribution-level convergence diagnostics show stronger cross-condition transfer than fine representation-geometry trajectories.</w:t>
      </w:r>
    </w:p>
    <w:p>
      <w:pPr>
        <w:pStyle w:val="ListNumber"/>
      </w:pPr>
      <w:r>
        <w:t>Across four real Glasgow acquisitions spanning diffraction and imaging, unchanged QMS state logic consistently identifies convergence followed by late-acquisition departure.</w:t>
      </w:r>
    </w:p>
    <w:p>
      <w:pPr>
        <w:pStyle w:val="ListNumber"/>
      </w:pPr>
      <w:r>
        <w:t>Current Glasgow evidence supports cross-condition transfer on one experimental platform, not universal detector behavior.</w:t>
      </w:r>
    </w:p>
    <w:p>
      <w:pPr>
        <w:pStyle w:val="ListNumber"/>
      </w:pPr>
      <w:r>
        <w:t>Current causal experiments do not establish prospective early-warning capability.</w:t>
      </w:r>
    </w:p>
    <w:p>
      <w:pPr>
        <w:pStyle w:val="Heading1"/>
      </w:pPr>
      <w:r>
        <w:t>9. Claims Not Yet Established</w:t>
      </w:r>
    </w:p>
    <w:p>
      <w:pPr>
        <w:pStyle w:val="ListBullet"/>
      </w:pPr>
      <w:r>
        <w:t>Universal detector-health monitoring.</w:t>
      </w:r>
    </w:p>
    <w:p>
      <w:pPr>
        <w:pStyle w:val="ListBullet"/>
      </w:pPr>
      <w:r>
        <w:t>A universal normalized drift threshold near 0.8.</w:t>
      </w:r>
    </w:p>
    <w:p>
      <w:pPr>
        <w:pStyle w:val="ListBullet"/>
      </w:pPr>
      <w:r>
        <w:t>Confirmed hardware degradation in the late Glasgow state.</w:t>
      </w:r>
    </w:p>
    <w:p>
      <w:pPr>
        <w:pStyle w:val="ListBullet"/>
      </w:pPr>
      <w:r>
        <w:t>Validated prospective causal early warning.</w:t>
      </w:r>
    </w:p>
    <w:p>
      <w:pPr>
        <w:pStyle w:val="ListBullet"/>
      </w:pPr>
      <w:r>
        <w:t>Universal fine representation geometry.</w:t>
      </w:r>
    </w:p>
    <w:p>
      <w:pPr>
        <w:pStyle w:val="ListBullet"/>
      </w:pPr>
      <w:r>
        <w:t>Cross-laboratory transfer of the Glasgow state classifier.</w:t>
      </w:r>
    </w:p>
    <w:p>
      <w:pPr>
        <w:pStyle w:val="Heading1"/>
      </w:pPr>
      <w:r>
        <w:t>10. Architectural Implication</w:t>
      </w:r>
    </w:p>
    <w:p>
      <w:r>
        <w:t>The evidence supports separating representation, convergence/reference behavior, observability, reconstruction, and health interpretation. A practical QMS pipeline should not infer health directly from representation complexity. Instead, measurement structure should first be characterized, then interpreted relative to the measurement objective and reference state, followed by observability and reconstruction checks.</w:t>
      </w:r>
    </w:p>
    <w:p>
      <w:r>
        <w:t>Current working architecture: raw measurement → representation diagnostics → convergence/reference diagnostics → operational state classification → observability diagnostics → reconstruction assurance → error decomposition → validated health interpretation.</w:t>
      </w:r>
    </w:p>
    <w:p>
      <w:pPr>
        <w:pStyle w:val="Heading1"/>
      </w:pPr>
      <w:r>
        <w:t>11. Relationship to the Initial QMS Paper</w:t>
      </w:r>
    </w:p>
    <w:p>
      <w:r>
        <w:t>The initial QMS observability and reconstruction-assurance framework is described in: Srikar R., “QMS Platform: A Quantum Measurement Observability and Reconstruction-Assurance Framework with Initial Validation,” Zenodo, 2026, DOI 10.5281/zenodo.22057334.</w:t>
      </w:r>
    </w:p>
    <w:p>
      <w:r>
        <w:t>The representation layer and expanded real-measurement validation summarized in this report post-date that initial archived release.</w:t>
      </w:r>
    </w:p>
    <w:p>
      <w:pPr>
        <w:pStyle w:val="Heading1"/>
      </w:pPr>
      <w:r>
        <w:t>12. Recommended Next Validation</w:t>
      </w:r>
    </w:p>
    <w:p>
      <w:r>
        <w:t>The highest-value next validation is to apply the frozen diagnostic and state logic to an additional independent acquisition family or, preferably, a different experimental platform or laboratory without retuning. This would test whether the currently observed transfer is platform-specific or extends across laboratories.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