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  <w:jc w:val="center"/>
      </w:pPr>
      <w:r>
        <w:rPr>
          <w:b/>
          <w:sz w:val="44"/>
        </w:rPr>
        <w:t>Quantum Measurement Stack (QMS)</w:t>
      </w:r>
    </w:p>
    <w:p>
      <w:pPr>
        <w:jc w:val="center"/>
      </w:pPr>
      <w:r>
        <w:rPr>
          <w:b/>
          <w:sz w:val="34"/>
        </w:rPr>
        <w:t>A Three-Twin Architecture for Measurement Observability and Adaptive Inference</w:t>
      </w:r>
    </w:p>
    <w:p>
      <w:pPr>
        <w:spacing w:before="520"/>
        <w:jc w:val="center"/>
      </w:pPr>
      <w:r>
        <w:rPr>
          <w:b/>
          <w:sz w:val="24"/>
        </w:rPr>
        <w:t>Srikar R.</w:t>
      </w:r>
    </w:p>
    <w:p>
      <w:pPr>
        <w:spacing w:after="40"/>
        <w:jc w:val="center"/>
      </w:pPr>
      <w:r>
        <w:t>Independent Research</w:t>
      </w:r>
    </w:p>
    <w:p>
      <w:pPr>
        <w:spacing w:after="40"/>
        <w:jc w:val="center"/>
      </w:pPr>
      <w:r>
        <w:t>ORCID: 0009-0002-9398-0847</w:t>
      </w:r>
    </w:p>
    <w:p>
      <w:pPr>
        <w:spacing w:after="40"/>
        <w:jc w:val="center"/>
      </w:pPr>
      <w:r>
        <w:t>Contact: r.srikar.30@gmail.com</w:t>
      </w:r>
    </w:p>
    <w:p>
      <w:pPr>
        <w:spacing w:after="40"/>
        <w:jc w:val="center"/>
      </w:pPr>
      <w:r>
        <w:t>QMS Platform v0.4.0</w:t>
      </w:r>
    </w:p>
    <w:p>
      <w:pPr>
        <w:spacing w:before="520"/>
        <w:jc w:val="center"/>
      </w:pPr>
      <w:r>
        <w:rPr>
          <w:sz w:val="19"/>
        </w:rPr>
        <w:t>Software: https://github.com/srikarr20/qms-platform</w:t>
      </w:r>
    </w:p>
    <w:p>
      <w:pPr>
        <w:jc w:val="center"/>
      </w:pPr>
      <w:r>
        <w:rPr>
          <w:sz w:val="19"/>
        </w:rPr>
        <w:t>License: Apache-2.0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rPr>
          <w:i w:val="0"/>
        </w:rPr>
        <w:t>The Quantum Measurement Stack (QMS) is an open-source research and software framework for studying what can be inferred about a physical or quantum system from what its detector and measurement architecture make observable.</w:t>
      </w:r>
    </w:p>
    <w:p>
      <w:r>
        <w:rPr>
          <w:i w:val="0"/>
        </w:rPr>
        <w:t>QMS has evolved from earlier work on detector-plane imaging and measurement observability into a provider-independent three-twin architecture comprising a Quantum Twin, Detector Twin, and Measurement Twin.</w:t>
      </w:r>
    </w:p>
    <w:p>
      <w:r>
        <w:rPr>
          <w:i w:val="0"/>
        </w:rPr>
        <w:t>The Quantum Twin implements finite two-mode Gaussian dynamics, observability analysis, state reconstruction, Kalman estimation, physicality checks, parameter identification, model-family comparison, adaptive estimation, and measurement recommendation. The Detector Twin provides provider-independent residual analysis, stage-wise divergence assessment, inverse calibration, mechanism ranking, prediction, and detector-state comparison. The Measurement Twin operates directly on evolving observable measurements and provides causal short-horizon prediction, innovation analysis, frozen calibration, future-only alerting, and connected alert-episode consolidation.</w:t>
      </w:r>
    </w:p>
    <w:p>
      <w:r>
        <w:rPr>
          <w:i w:val="0"/>
        </w:rPr>
        <w:t>Current validation includes controlled computational experiments, a Pyxel-based charge-transfer inefficiency parameter-recovery test, and causal-replay analysis of archival single-photon experimental measurements from the University of Glasgow.</w:t>
      </w:r>
    </w:p>
    <w:p>
      <w:r>
        <w:rPr>
          <w:i w:val="0"/>
        </w:rPr>
        <w:t>The present evidence demonstrates internal computational consistency, finite-dimensional observability and estimation, detector-model parameter recovery under matched forward-model assumptions, and causal measurement-state tracking on real experimental data. It does not establish quantum-field reconstruction, universal quantum tomography, independently validated real-detector calibration, physical fault attribution, or prospective experimental validation.</w:t>
      </w:r>
    </w:p>
    <w:p>
      <w:r>
        <w:rPr>
          <w:i w:val="0"/>
        </w:rPr>
        <w:t>The next validation stage is blind evaluation using independently configured detector simulations and held-out experimental measurements.</w:t>
      </w:r>
    </w:p>
    <w:p>
      <w:pPr>
        <w:pStyle w:val="Heading1"/>
      </w:pPr>
      <w:r>
        <w:t>1. Introduction</w:t>
      </w:r>
    </w:p>
    <w:p>
      <w:r>
        <w:rPr>
          <w:i w:val="0"/>
        </w:rPr>
        <w:t>Measurement systems do not provide direct access to an underlying physical state. They produce representations shaped by detector response, acquisition architecture, noise, sampling, processing, and model assumptions.</w:t>
      </w:r>
    </w:p>
    <w:p>
      <w:pPr>
        <w:ind w:left="504" w:right="504"/>
      </w:pPr>
      <w:r>
        <w:rPr>
          <w:b/>
          <w:i/>
        </w:rPr>
        <w:t>What can be inferred about an underlying physical or quantum system from what its measurement architecture actually makes observable?</w:t>
      </w:r>
    </w:p>
    <w:p>
      <w:r>
        <w:rPr>
          <w:i w:val="0"/>
        </w:rPr>
        <w:t>The Quantum Measurement Stack was developed to investigate this question computationally.</w:t>
      </w:r>
    </w:p>
    <w:p>
      <w:r>
        <w:rPr>
          <w:i w:val="0"/>
        </w:rPr>
        <w:t>The research lineage leading to QMS is:</w:t>
      </w:r>
    </w:p>
    <w:p>
      <w:pPr>
        <w:pStyle w:val="CodeBlock"/>
      </w:pPr>
      <w:r>
        <w:t>Imprint Hypothesis -&gt; Detector-Plane Imaging -&gt; Measurement Observability -&gt; QMS / QMVA -&gt; AURORA -&gt; Adaptive Measurement Twin</w:t>
      </w:r>
    </w:p>
    <w:p>
      <w:r>
        <w:rPr>
          <w:i w:val="0"/>
        </w:rPr>
        <w:t>The current QMS implementation consolidates these developments into a reusable architecture with three complementary twin layers.</w:t>
      </w:r>
    </w:p>
    <w:p>
      <w:pPr>
        <w:pStyle w:val="Heading1"/>
      </w:pPr>
      <w:r>
        <w:t>2. Three-Twin Architecture</w:t>
      </w:r>
    </w:p>
    <w:p>
      <w:r>
        <w:rPr>
          <w:i w:val="0"/>
        </w:rPr>
        <w:t>The current QMS architecture is organized as:</w:t>
      </w:r>
    </w:p>
    <w:p>
      <w:pPr>
        <w:pStyle w:val="CodeBlock"/>
      </w:pPr>
      <w:r>
        <w:t>QMS</w:t>
        <w:br/>
        <w:t>|</w:t>
        <w:br/>
        <w:t>|-- Quantum Twin</w:t>
        <w:br/>
        <w:t>|-- Detector Twin</w:t>
        <w:br/>
        <w:t>`-- Measurement Twin</w:t>
      </w:r>
    </w:p>
    <w:p>
      <w:r>
        <w:rPr>
          <w:i w:val="0"/>
        </w:rPr>
        <w:t>These layers address different inference questions while sharing a provider-independent measurement and inference philosophy.</w:t>
      </w:r>
    </w:p>
    <w:p>
      <w:pPr>
        <w:pStyle w:val="Heading2"/>
      </w:pPr>
      <w:r>
        <w:t>2.1 Quantum Twin</w:t>
      </w:r>
    </w:p>
    <w:p>
      <w:pPr>
        <w:ind w:left="504" w:right="504"/>
      </w:pPr>
      <w:r>
        <w:rPr>
          <w:b/>
          <w:i/>
        </w:rPr>
        <w:t>What hidden finite-dimensional state could have produced the observed measurements, and is that state observable under the current measurement architecture?</w:t>
      </w:r>
    </w:p>
    <w:p>
      <w:r>
        <w:rPr>
          <w:i w:val="0"/>
        </w:rPr>
        <w:t>The current implementation uses a finite two-mode Gaussian state representation:</w:t>
      </w:r>
    </w:p>
    <w:p>
      <w:pPr>
        <w:pStyle w:val="CodeBlock"/>
      </w:pPr>
      <w:r>
        <w:t>x = [x1, p1, x2, p2]</w:t>
      </w:r>
    </w:p>
    <w:p>
      <w:r>
        <w:rPr>
          <w:i w:val="0"/>
        </w:rPr>
        <w:t>Current capabilities include:</w:t>
      </w:r>
    </w:p>
    <w:p>
      <w:pPr>
        <w:pStyle w:val="ListBullet"/>
      </w:pPr>
      <w:r>
        <w:t>linear Gaussian dynamics</w:t>
      </w:r>
    </w:p>
    <w:p>
      <w:pPr>
        <w:pStyle w:val="ListBullet"/>
      </w:pPr>
      <w:r>
        <w:t>observability-matrix construction</w:t>
      </w:r>
    </w:p>
    <w:p>
      <w:pPr>
        <w:pStyle w:val="ListBullet"/>
      </w:pPr>
      <w:r>
        <w:t>rank and null-space analysis</w:t>
      </w:r>
    </w:p>
    <w:p>
      <w:pPr>
        <w:pStyle w:val="ListBullet"/>
      </w:pPr>
      <w:r>
        <w:t>conditioning analysis</w:t>
      </w:r>
    </w:p>
    <w:p>
      <w:pPr>
        <w:pStyle w:val="ListBullet"/>
      </w:pPr>
      <w:r>
        <w:t>state reconstruction</w:t>
      </w:r>
    </w:p>
    <w:p>
      <w:pPr>
        <w:pStyle w:val="ListBullet"/>
      </w:pPr>
      <w:r>
        <w:t>Kalman prediction and update</w:t>
      </w:r>
    </w:p>
    <w:p>
      <w:pPr>
        <w:pStyle w:val="ListBullet"/>
      </w:pPr>
      <w:r>
        <w:t>Gaussian physicality checks</w:t>
      </w:r>
    </w:p>
    <w:p>
      <w:pPr>
        <w:pStyle w:val="ListBullet"/>
      </w:pPr>
      <w:r>
        <w:t>residual and divergence analysis</w:t>
      </w:r>
    </w:p>
    <w:p>
      <w:pPr>
        <w:pStyle w:val="ListBullet"/>
      </w:pPr>
      <w:r>
        <w:t>parameter identification</w:t>
      </w:r>
    </w:p>
    <w:p>
      <w:pPr>
        <w:pStyle w:val="ListBullet"/>
      </w:pPr>
      <w:r>
        <w:t>model-family comparison</w:t>
      </w:r>
    </w:p>
    <w:p>
      <w:pPr>
        <w:pStyle w:val="ListBullet"/>
      </w:pPr>
      <w:r>
        <w:t>adaptive parameter estimation</w:t>
      </w:r>
    </w:p>
    <w:p>
      <w:pPr>
        <w:pStyle w:val="ListBullet"/>
      </w:pPr>
      <w:r>
        <w:t>measurement-configuration recommendation</w:t>
      </w:r>
    </w:p>
    <w:p>
      <w:r>
        <w:rPr>
          <w:i w:val="0"/>
        </w:rPr>
        <w:t>The implementation is computational and finite-dimensional. It does not constitute general quantum-state tomography, quantum-field reconstruction, particle-trajectory inference, or experimentally validated quantum dynamics.</w:t>
      </w:r>
    </w:p>
    <w:p>
      <w:pPr>
        <w:pStyle w:val="Heading1"/>
      </w:pPr>
      <w:r>
        <w:t>3. Detector Twin</w:t>
      </w:r>
    </w:p>
    <w:p>
      <w:pPr>
        <w:ind w:left="504" w:right="504"/>
      </w:pPr>
      <w:r>
        <w:rPr>
          <w:b/>
          <w:i/>
        </w:rPr>
        <w:t>What detector or measurement-chain behavior could explain the observed detector output?</w:t>
      </w:r>
    </w:p>
    <w:p>
      <w:r>
        <w:rPr>
          <w:i w:val="0"/>
        </w:rPr>
        <w:t>The provider-independent detector layer includes:</w:t>
      </w:r>
    </w:p>
    <w:p>
      <w:pPr>
        <w:pStyle w:val="ListBullet"/>
      </w:pPr>
      <w:r>
        <w:t>residual analysis</w:t>
      </w:r>
    </w:p>
    <w:p>
      <w:pPr>
        <w:pStyle w:val="ListBullet"/>
      </w:pPr>
      <w:r>
        <w:t>stage-wise divergence detection</w:t>
      </w:r>
    </w:p>
    <w:p>
      <w:pPr>
        <w:pStyle w:val="ListBullet"/>
      </w:pPr>
      <w:r>
        <w:t>mechanism ranking</w:t>
      </w:r>
    </w:p>
    <w:p>
      <w:pPr>
        <w:pStyle w:val="ListBullet"/>
      </w:pPr>
      <w:r>
        <w:t>monotonic inverse calibration</w:t>
      </w:r>
    </w:p>
    <w:p>
      <w:pPr>
        <w:pStyle w:val="ListBullet"/>
      </w:pPr>
      <w:r>
        <w:t>detector prediction</w:t>
      </w:r>
    </w:p>
    <w:p>
      <w:pPr>
        <w:pStyle w:val="ListBullet"/>
      </w:pPr>
      <w:r>
        <w:t>innovation analysis</w:t>
      </w:r>
    </w:p>
    <w:p>
      <w:pPr>
        <w:pStyle w:val="ListBullet"/>
      </w:pPr>
      <w:r>
        <w:t>detector-state assessment</w:t>
      </w:r>
    </w:p>
    <w:p>
      <w:r>
        <w:rPr>
          <w:i w:val="0"/>
        </w:rPr>
        <w:t>Provider-specific detector physics are deliberately kept outside the QMS core. This separation allows QMS to interact with detector simulators or real detector systems without embedding a particular provider's implementation into the core architecture.</w:t>
      </w:r>
    </w:p>
    <w:p>
      <w:pPr>
        <w:pStyle w:val="Heading1"/>
      </w:pPr>
      <w:r>
        <w:t>4. Measurement Twin</w:t>
      </w:r>
    </w:p>
    <w:p>
      <w:pPr>
        <w:ind w:left="504" w:right="504"/>
      </w:pPr>
      <w:r>
        <w:rPr>
          <w:b/>
          <w:i/>
        </w:rPr>
        <w:t>Is the observable measurement state evolving differently from what the current predictive model expects?</w:t>
      </w:r>
    </w:p>
    <w:p>
      <w:r>
        <w:rPr>
          <w:i w:val="0"/>
        </w:rPr>
        <w:t>This layer does not require a fully specified detector-physics model. Current capabilities include:</w:t>
      </w:r>
    </w:p>
    <w:p>
      <w:pPr>
        <w:pStyle w:val="ListBullet"/>
      </w:pPr>
      <w:r>
        <w:t>measurement-state construction</w:t>
      </w:r>
    </w:p>
    <w:p>
      <w:pPr>
        <w:pStyle w:val="ListBullet"/>
      </w:pPr>
      <w:r>
        <w:t>cumulative-to-incremental reconstruction</w:t>
      </w:r>
    </w:p>
    <w:p>
      <w:pPr>
        <w:pStyle w:val="ListBullet"/>
      </w:pPr>
      <w:r>
        <w:t>normalized measurement distributions</w:t>
      </w:r>
    </w:p>
    <w:p>
      <w:pPr>
        <w:pStyle w:val="ListBullet"/>
      </w:pPr>
      <w:r>
        <w:t>cosine-similarity analysis</w:t>
      </w:r>
    </w:p>
    <w:p>
      <w:pPr>
        <w:pStyle w:val="ListBullet"/>
      </w:pPr>
      <w:r>
        <w:t>Jensen-Shannon divergence</w:t>
      </w:r>
    </w:p>
    <w:p>
      <w:pPr>
        <w:pStyle w:val="ListBullet"/>
      </w:pPr>
      <w:r>
        <w:t>constant-velocity state prediction</w:t>
      </w:r>
    </w:p>
    <w:p>
      <w:pPr>
        <w:pStyle w:val="ListBullet"/>
      </w:pPr>
      <w:r>
        <w:t>innovation calculation</w:t>
      </w:r>
    </w:p>
    <w:p>
      <w:pPr>
        <w:pStyle w:val="ListBullet"/>
      </w:pPr>
      <w:r>
        <w:t>frozen robust calibration</w:t>
      </w:r>
    </w:p>
    <w:p>
      <w:pPr>
        <w:pStyle w:val="ListBullet"/>
      </w:pPr>
      <w:r>
        <w:t>future-only alerting</w:t>
      </w:r>
    </w:p>
    <w:p>
      <w:pPr>
        <w:pStyle w:val="ListBullet"/>
      </w:pPr>
      <w:r>
        <w:t>connected alert-episode consolidation</w:t>
      </w:r>
    </w:p>
    <w:p>
      <w:pPr>
        <w:pStyle w:val="ListBullet"/>
      </w:pPr>
      <w:r>
        <w:t>causal replay</w:t>
      </w:r>
    </w:p>
    <w:p>
      <w:r>
        <w:rPr>
          <w:i w:val="0"/>
        </w:rPr>
        <w:t>This layer is intended to characterize unexpected measurement evolution without prematurely assigning a physical mechanism.</w:t>
      </w:r>
    </w:p>
    <w:p>
      <w:pPr>
        <w:pStyle w:val="Heading1"/>
      </w:pPr>
      <w:r>
        <w:t>5. Pyxel Detector-Twin Integration</w:t>
      </w:r>
    </w:p>
    <w:p>
      <w:r>
        <w:rPr>
          <w:i w:val="0"/>
        </w:rPr>
        <w:t>QMS includes a separate integration with the ESA-developed Pyxel detector-simulation framework. Pyxel provides the detector forward-model environment, while QMS provides observability, residual-analysis, inference, and adaptive-twin logic around the detector outputs.</w:t>
      </w:r>
    </w:p>
    <w:p>
      <w:r>
        <w:rPr>
          <w:i w:val="0"/>
        </w:rPr>
        <w:t>A controlled charge-transfer inefficiency experiment was performed using Pyxel's charge-transfer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Quantity</w:t>
            </w:r>
          </w:p>
        </w:tc>
        <w:tc>
          <w:tcPr>
            <w:tcW w:type="dxa" w:w="4896"/>
          </w:tcPr>
          <w:p>
            <w:r>
              <w:t>Result</w:t>
            </w:r>
          </w:p>
        </w:tc>
      </w:tr>
      <w:tr>
        <w:tc>
          <w:tcPr>
            <w:tcW w:type="dxa" w:w="4896"/>
          </w:tcPr>
          <w:p>
            <w:r>
              <w:t>Known trap density</w:t>
            </w:r>
          </w:p>
        </w:tc>
        <w:tc>
          <w:tcPr>
            <w:tcW w:type="dxa" w:w="4896"/>
          </w:tcPr>
          <w:p>
            <w:r>
              <w:t>5.0e9 cm^-3</w:t>
            </w:r>
          </w:p>
        </w:tc>
      </w:tr>
      <w:tr>
        <w:tc>
          <w:tcPr>
            <w:tcW w:type="dxa" w:w="4896"/>
          </w:tcPr>
          <w:p>
            <w:r>
              <w:t>Recovered trap density</w:t>
            </w:r>
          </w:p>
        </w:tc>
        <w:tc>
          <w:tcPr>
            <w:tcW w:type="dxa" w:w="4896"/>
          </w:tcPr>
          <w:p>
            <w:r>
              <w:t>~4.99999948e9 cm^-3</w:t>
            </w:r>
          </w:p>
        </w:tc>
      </w:tr>
      <w:tr>
        <w:tc>
          <w:tcPr>
            <w:tcW w:type="dxa" w:w="4896"/>
          </w:tcPr>
          <w:p>
            <w:r>
              <w:t>Relative error</w:t>
            </w:r>
          </w:p>
        </w:tc>
        <w:tc>
          <w:tcPr>
            <w:tcW w:type="dxa" w:w="4896"/>
          </w:tcPr>
          <w:p>
            <w:r>
              <w:t>~1.05e-7</w:t>
            </w:r>
          </w:p>
        </w:tc>
      </w:tr>
      <w:tr>
        <w:tc>
          <w:tcPr>
            <w:tcW w:type="dxa" w:w="4896"/>
          </w:tcPr>
          <w:p>
            <w:r>
              <w:t>Pixel-stage residual RMSE</w:t>
            </w:r>
          </w:p>
        </w:tc>
        <w:tc>
          <w:tcPr>
            <w:tcW w:type="dxa" w:w="4896"/>
          </w:tcPr>
          <w:p>
            <w:r>
              <w:t>~1.53e-7</w:t>
            </w:r>
          </w:p>
        </w:tc>
      </w:tr>
    </w:tbl>
    <w:p>
      <w:r>
        <w:rPr>
          <w:i w:val="0"/>
        </w:rPr>
        <w:t>This result demonstrates numerical and inferential consistency within the tested Pyxel model family. It is a same-forward-model computational recovery test. It should not be interpreted as independent detector validation, real-hardware calibration, or evidence of general detector-parameter inference.</w:t>
      </w:r>
    </w:p>
    <w:p>
      <w:pPr>
        <w:pStyle w:val="Heading2"/>
      </w:pPr>
      <w:r>
        <w:t>5.1 Pyxel Citation</w:t>
      </w:r>
    </w:p>
    <w:p>
      <w:r>
        <w:rPr>
          <w:i w:val="0"/>
        </w:rPr>
        <w:t>Arko, M., Prod'homme, T., Lemmel, F., Serra, B., George, E. M., Kelman, B., Pichon, T., Biancalani, E., &amp; Gilbert, J. (2022). Pyxel 1.0: an open source Python framework for detector and end-to-end instrument simulation. Journal of Astronomical Telescopes, Instruments, and Systems, 8(4), 048002. DOI: https://doi.org/10.1117/1.JATIS.8.4.048002</w:t>
      </w:r>
    </w:p>
    <w:p>
      <w:r>
        <w:rPr>
          <w:i w:val="0"/>
        </w:rPr>
        <w:t>Project: https://esa.gitlab.io/pyxel/</w:t>
      </w:r>
    </w:p>
    <w:p>
      <w:r>
        <w:rPr>
          <w:i w:val="0"/>
        </w:rPr>
        <w:t>Source: https://gitlab.com/esa/pyxel</w:t>
      </w:r>
    </w:p>
    <w:p>
      <w:pPr>
        <w:pStyle w:val="Heading1"/>
      </w:pPr>
      <w:r>
        <w:t>6. Glasgow Experimental Measurement-State Twin</w:t>
      </w:r>
    </w:p>
    <w:p>
      <w:r>
        <w:rPr>
          <w:i w:val="0"/>
        </w:rPr>
        <w:t>QMS also includes a separate integration for archival single-photon experimental measurements from the University of Glasgow.</w:t>
      </w:r>
    </w:p>
    <w:p>
      <w:r>
        <w:rPr>
          <w:i w:val="0"/>
        </w:rPr>
        <w:t>The current causal-replay analysis uses the archive:</w:t>
      </w:r>
    </w:p>
    <w:p>
      <w:pPr>
        <w:pStyle w:val="CodeBlock"/>
      </w:pPr>
      <w:r>
        <w:t>Heralded Diffraction SM.zip</w:t>
      </w:r>
    </w:p>
    <w:p>
      <w:r>
        <w:rPr>
          <w:i w:val="0"/>
        </w:rPr>
        <w:t>The workflow reconstructs incremental measurements from cumulative detector frames and then applies frozen-reference causal prediction and innovation analysis.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Configuration / outcome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Reference end</w:t>
            </w:r>
          </w:p>
        </w:tc>
        <w:tc>
          <w:tcPr>
            <w:tcW w:type="dxa" w:w="4896"/>
          </w:tcPr>
          <w:p>
            <w:r>
              <w:t>399</w:t>
            </w:r>
          </w:p>
        </w:tc>
      </w:tr>
      <w:tr>
        <w:tc>
          <w:tcPr>
            <w:tcW w:type="dxa" w:w="4896"/>
          </w:tcPr>
          <w:p>
            <w:r>
              <w:t>Calibration end</w:t>
            </w:r>
          </w:p>
        </w:tc>
        <w:tc>
          <w:tcPr>
            <w:tcW w:type="dxa" w:w="4896"/>
          </w:tcPr>
          <w:p>
            <w:r>
              <w:t>699</w:t>
            </w:r>
          </w:p>
        </w:tc>
      </w:tr>
      <w:tr>
        <w:tc>
          <w:tcPr>
            <w:tcW w:type="dxa" w:w="4896"/>
          </w:tcPr>
          <w:p>
            <w:r>
              <w:t>Calibration samples</w:t>
            </w:r>
          </w:p>
        </w:tc>
        <w:tc>
          <w:tcPr>
            <w:tcW w:type="dxa" w:w="4896"/>
          </w:tcPr>
          <w:p>
            <w:r>
              <w:t>199</w:t>
            </w:r>
          </w:p>
        </w:tc>
      </w:tr>
      <w:tr>
        <w:tc>
          <w:tcPr>
            <w:tcW w:type="dxa" w:w="4896"/>
          </w:tcPr>
          <w:p>
            <w:r>
              <w:t>Median innovation</w:t>
            </w:r>
          </w:p>
        </w:tc>
        <w:tc>
          <w:tcPr>
            <w:tcW w:type="dxa" w:w="4896"/>
          </w:tcPr>
          <w:p>
            <w:r>
              <w:t>~0.00448429</w:t>
            </w:r>
          </w:p>
        </w:tc>
      </w:tr>
      <w:tr>
        <w:tc>
          <w:tcPr>
            <w:tcW w:type="dxa" w:w="4896"/>
          </w:tcPr>
          <w:p>
            <w:r>
              <w:t>MAD</w:t>
            </w:r>
          </w:p>
        </w:tc>
        <w:tc>
          <w:tcPr>
            <w:tcW w:type="dxa" w:w="4896"/>
          </w:tcPr>
          <w:p>
            <w:r>
              <w:t>~0.00229512</w:t>
            </w:r>
          </w:p>
        </w:tc>
      </w:tr>
      <w:tr>
        <w:tc>
          <w:tcPr>
            <w:tcW w:type="dxa" w:w="4896"/>
          </w:tcPr>
          <w:p>
            <w:r>
              <w:t>Frozen threshold</w:t>
            </w:r>
          </w:p>
        </w:tc>
        <w:tc>
          <w:tcPr>
            <w:tcW w:type="dxa" w:w="4896"/>
          </w:tcPr>
          <w:p>
            <w:r>
              <w:t>~0.02490077</w:t>
            </w:r>
          </w:p>
        </w:tc>
      </w:tr>
      <w:tr>
        <w:tc>
          <w:tcPr>
            <w:tcW w:type="dxa" w:w="4896"/>
          </w:tcPr>
          <w:p>
            <w:r>
              <w:t>Future samples</w:t>
            </w:r>
          </w:p>
        </w:tc>
        <w:tc>
          <w:tcPr>
            <w:tcW w:type="dxa" w:w="4896"/>
          </w:tcPr>
          <w:p>
            <w:r>
              <w:t>3369</w:t>
            </w:r>
          </w:p>
        </w:tc>
      </w:tr>
      <w:tr>
        <w:tc>
          <w:tcPr>
            <w:tcW w:type="dxa" w:w="4896"/>
          </w:tcPr>
          <w:p>
            <w:r>
              <w:t>Raw future flags</w:t>
            </w:r>
          </w:p>
        </w:tc>
        <w:tc>
          <w:tcPr>
            <w:tcW w:type="dxa" w:w="4896"/>
          </w:tcPr>
          <w:p>
            <w:r>
              <w:t>64</w:t>
            </w:r>
          </w:p>
        </w:tc>
      </w:tr>
      <w:tr>
        <w:tc>
          <w:tcPr>
            <w:tcW w:type="dxa" w:w="4896"/>
          </w:tcPr>
          <w:p>
            <w:r>
              <w:t>Connected alert episodes</w:t>
            </w:r>
          </w:p>
        </w:tc>
        <w:tc>
          <w:tcPr>
            <w:tcW w:type="dxa" w:w="4896"/>
          </w:tcPr>
          <w:p>
            <w:r>
              <w:t>6</w:t>
            </w:r>
          </w:p>
        </w:tc>
      </w:tr>
    </w:tbl>
    <w:p>
      <w:r>
        <w:rPr>
          <w:i w:val="0"/>
        </w:rPr>
        <w:t>Connected episode peak windows:</w:t>
      </w:r>
    </w:p>
    <w:p>
      <w:pPr>
        <w:pStyle w:val="CodeBlock"/>
      </w:pPr>
      <w:r>
        <w:t>951, 1598, 2316, 2761, 3458, 3875</w:t>
      </w:r>
    </w:p>
    <w:p>
      <w:r>
        <w:rPr>
          <w:i w:val="0"/>
        </w:rPr>
        <w:t>These are algorithmic connected clusters of temporally dependent alerts. They are not interpreted as statistically independent physical events, detector failures, or identified microscopic mechanisms.</w:t>
      </w:r>
    </w:p>
    <w:p>
      <w:r>
        <w:rPr>
          <w:i w:val="0"/>
        </w:rPr>
        <w:t>The appropriate description of the present implementation is: causal-replay experimental measurement-state twin.</w:t>
      </w:r>
    </w:p>
    <w:p>
      <w:pPr>
        <w:pStyle w:val="Heading2"/>
      </w:pPr>
      <w:r>
        <w:t>6.1 Glasgow Dataset Citation</w:t>
      </w:r>
    </w:p>
    <w:p>
      <w:r>
        <w:rPr>
          <w:i w:val="0"/>
        </w:rPr>
        <w:t>Aspden, R. S., Padgett, M., &amp; Spalding, G. (2016). Video recording true single-photon double-slit interference [Data collection]. University of Glasgow. DOI: https://doi.org/10.5525/gla.researchdata.281</w:t>
      </w:r>
    </w:p>
    <w:p>
      <w:r>
        <w:rPr>
          <w:i w:val="0"/>
        </w:rPr>
        <w:t>Associated publication: Aspden, R. S., Padgett, M. J., &amp; Spalding, G. C. (2016). Video recording true single-photon double-slit interference. American Journal of Physics, 84(9), 671-677. DOI: https://doi.org/10.1119/1.4955173</w:t>
      </w:r>
    </w:p>
    <w:p>
      <w:pPr>
        <w:pStyle w:val="Heading1"/>
      </w:pPr>
      <w:r>
        <w:t>7. Software Architecture and Reproducibility</w:t>
      </w:r>
    </w:p>
    <w:p>
      <w:r>
        <w:rPr>
          <w:i w:val="0"/>
        </w:rPr>
        <w:t>The current architecture separates reusable QMS logic from provider-specific integrations:</w:t>
      </w:r>
    </w:p>
    <w:p>
      <w:pPr>
        <w:pStyle w:val="CodeBlock"/>
      </w:pPr>
      <w:r>
        <w:t>qms_core/</w:t>
        <w:br/>
        <w:t>|-- quantum_twin/</w:t>
        <w:br/>
        <w:t>|-- detector_twin/</w:t>
        <w:br/>
        <w:t>`-- measurement_twin/</w:t>
        <w:br/>
        <w:br/>
        <w:t>integrations/</w:t>
        <w:br/>
        <w:t>|-- pyxel/</w:t>
        <w:br/>
        <w:t>`-- glasgow/</w:t>
      </w:r>
    </w:p>
    <w:p>
      <w:r>
        <w:rPr>
          <w:i w:val="0"/>
        </w:rPr>
        <w:t>Focused external-review packages are included under:</w:t>
      </w:r>
    </w:p>
    <w:p>
      <w:pPr>
        <w:pStyle w:val="CodeBlock"/>
      </w:pPr>
      <w:r>
        <w:t>validation_packages/</w:t>
        <w:br/>
        <w:t>|-- pyxel/</w:t>
        <w:br/>
        <w:t>`-- glasgow/</w:t>
      </w:r>
    </w:p>
    <w:p>
      <w:r>
        <w:rPr>
          <w:i w:val="0"/>
        </w:rPr>
        <w:t>The current test suite includes unit tests for the three QMS twin layers, the Pyxel CTI integration regression, and the Glasgow causal-replay integration regression.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Release-check test</w:t>
            </w:r>
          </w:p>
        </w:tc>
        <w:tc>
          <w:tcPr>
            <w:tcW w:type="dxa" w:w="4896"/>
          </w:tcPr>
          <w:p>
            <w:r>
              <w:t>Result</w:t>
            </w:r>
          </w:p>
        </w:tc>
      </w:tr>
      <w:tr>
        <w:tc>
          <w:tcPr>
            <w:tcW w:type="dxa" w:w="4896"/>
          </w:tcPr>
          <w:p>
            <w:r>
              <w:t>Main test suite</w:t>
            </w:r>
          </w:p>
        </w:tc>
        <w:tc>
          <w:tcPr>
            <w:tcW w:type="dxa" w:w="4896"/>
          </w:tcPr>
          <w:p>
            <w:r>
              <w:t>10 passed, 1 skipped</w:t>
            </w:r>
          </w:p>
        </w:tc>
      </w:tr>
      <w:tr>
        <w:tc>
          <w:tcPr>
            <w:tcW w:type="dxa" w:w="4896"/>
          </w:tcPr>
          <w:p>
            <w:r>
              <w:t>Pyxel external regression</w:t>
            </w:r>
          </w:p>
        </w:tc>
        <w:tc>
          <w:tcPr>
            <w:tcW w:type="dxa" w:w="4896"/>
          </w:tcPr>
          <w:p>
            <w:r>
              <w:t>1 passed</w:t>
            </w:r>
          </w:p>
        </w:tc>
      </w:tr>
      <w:tr>
        <w:tc>
          <w:tcPr>
            <w:tcW w:type="dxa" w:w="4896"/>
          </w:tcPr>
          <w:p>
            <w:r>
              <w:t>Glasgow external regression</w:t>
            </w:r>
          </w:p>
        </w:tc>
        <w:tc>
          <w:tcPr>
            <w:tcW w:type="dxa" w:w="4896"/>
          </w:tcPr>
          <w:p>
            <w:r>
              <w:t>1 passed</w:t>
            </w:r>
          </w:p>
        </w:tc>
      </w:tr>
    </w:tbl>
    <w:p>
      <w:r>
        <w:rPr>
          <w:i w:val="0"/>
        </w:rPr>
        <w:t>The externally dependent tests require access to their corresponding external data or simulation environments.</w:t>
      </w:r>
    </w:p>
    <w:p>
      <w:pPr>
        <w:pStyle w:val="Heading1"/>
      </w:pPr>
      <w:r>
        <w:t>8. Scientific Boundaries</w:t>
      </w:r>
    </w:p>
    <w:p>
      <w:r>
        <w:rPr>
          <w:i w:val="0"/>
        </w:rPr>
        <w:t>QMS v0.4.0 does not establish:</w:t>
      </w:r>
    </w:p>
    <w:p>
      <w:pPr>
        <w:pStyle w:val="ListBullet"/>
      </w:pPr>
      <w:r>
        <w:t>quantum-field reconstruction</w:t>
      </w:r>
    </w:p>
    <w:p>
      <w:pPr>
        <w:pStyle w:val="ListBullet"/>
      </w:pPr>
      <w:r>
        <w:t>general quantum-state tomography</w:t>
      </w:r>
    </w:p>
    <w:p>
      <w:pPr>
        <w:pStyle w:val="ListBullet"/>
      </w:pPr>
      <w:r>
        <w:t>experimentally validated quantum dynamics</w:t>
      </w:r>
    </w:p>
    <w:p>
      <w:pPr>
        <w:pStyle w:val="ListBullet"/>
      </w:pPr>
      <w:r>
        <w:t>universal detector-parameter inference</w:t>
      </w:r>
    </w:p>
    <w:p>
      <w:pPr>
        <w:pStyle w:val="ListBullet"/>
      </w:pPr>
      <w:r>
        <w:t>independently validated real-detector calibration</w:t>
      </w:r>
    </w:p>
    <w:p>
      <w:pPr>
        <w:pStyle w:val="ListBullet"/>
      </w:pPr>
      <w:r>
        <w:t>detector-health diagnosis</w:t>
      </w:r>
    </w:p>
    <w:p>
      <w:pPr>
        <w:pStyle w:val="ListBullet"/>
      </w:pPr>
      <w:r>
        <w:t>physical fault attribution</w:t>
      </w:r>
    </w:p>
    <w:p>
      <w:pPr>
        <w:pStyle w:val="ListBullet"/>
      </w:pPr>
      <w:r>
        <w:t>statistically independent physical-event discovery</w:t>
      </w:r>
    </w:p>
    <w:p>
      <w:pPr>
        <w:pStyle w:val="ListBullet"/>
      </w:pPr>
      <w:r>
        <w:t>universal cross-instrument transfer</w:t>
      </w:r>
    </w:p>
    <w:p>
      <w:pPr>
        <w:pStyle w:val="ListBullet"/>
      </w:pPr>
      <w:r>
        <w:t>prospective experimental validation</w:t>
      </w:r>
    </w:p>
    <w:p>
      <w:r>
        <w:rPr>
          <w:i w:val="0"/>
        </w:rPr>
        <w:t>These boundaries are explicit because the present QMS objective is to build and validate the measurement and inference architecture before making stronger physical claims.</w:t>
      </w:r>
    </w:p>
    <w:p>
      <w:pPr>
        <w:pStyle w:val="Heading1"/>
      </w:pPr>
      <w:r>
        <w:t>9. External Validation Roadmap</w:t>
      </w:r>
    </w:p>
    <w:p>
      <w:r>
        <w:rPr>
          <w:i w:val="0"/>
        </w:rPr>
        <w:t>The strongest next experiments are:</w:t>
      </w:r>
    </w:p>
    <w:p>
      <w:pPr>
        <w:pStyle w:val="ListNumber"/>
      </w:pPr>
      <w:r>
        <w:t>independently configured Pyxel simulations whose parameters are hidden from QMS</w:t>
      </w:r>
    </w:p>
    <w:p>
      <w:pPr>
        <w:pStyle w:val="ListNumber"/>
      </w:pPr>
      <w:r>
        <w:t>model-family mismatch experiments</w:t>
      </w:r>
    </w:p>
    <w:p>
      <w:pPr>
        <w:pStyle w:val="ListNumber"/>
      </w:pPr>
      <w:r>
        <w:t>multiple competing detector mechanisms</w:t>
      </w:r>
    </w:p>
    <w:p>
      <w:pPr>
        <w:pStyle w:val="ListNumber"/>
      </w:pPr>
      <w:r>
        <w:t>held-out experimental detector sequences</w:t>
      </w:r>
    </w:p>
    <w:p>
      <w:pPr>
        <w:pStyle w:val="ListNumber"/>
      </w:pPr>
      <w:r>
        <w:t>frozen analysis parameters before test-data inspection</w:t>
      </w:r>
    </w:p>
    <w:p>
      <w:pPr>
        <w:pStyle w:val="ListNumber"/>
      </w:pPr>
      <w:r>
        <w:t>real detector calibration metadata where available</w:t>
      </w:r>
    </w:p>
    <w:p>
      <w:pPr>
        <w:pStyle w:val="ListNumber"/>
      </w:pPr>
      <w:r>
        <w:t>prospective streaming measurement evaluation</w:t>
      </w:r>
    </w:p>
    <w:p>
      <w:r>
        <w:rPr>
          <w:i w:val="0"/>
        </w:rPr>
        <w:t>These experiments are intended to test where the QMS architecture fails as well as where it succeeds.</w:t>
      </w:r>
    </w:p>
    <w:p>
      <w:pPr>
        <w:pStyle w:val="Heading1"/>
      </w:pPr>
      <w:r>
        <w:t>10. Conclusion</w:t>
      </w:r>
    </w:p>
    <w:p>
      <w:r>
        <w:rPr>
          <w:i w:val="0"/>
        </w:rPr>
        <w:t>QMS v0.4.0 represents the transition from a collection of measurement-observability experiments into a provider-independent three-twin architecture.</w:t>
      </w:r>
    </w:p>
    <w:p>
      <w:r>
        <w:rPr>
          <w:i w:val="0"/>
        </w:rPr>
        <w:t>The Quantum Twin addresses finite-dimensional hidden-state observability and estimation. The Detector Twin addresses model-based detector inference and residual behavior. The Measurement Twin addresses causal evolution of observable experimental measurement states.</w:t>
      </w:r>
    </w:p>
    <w:p>
      <w:r>
        <w:rPr>
          <w:i w:val="0"/>
        </w:rPr>
        <w:t>Current evidence supports computational observability and estimation, same-model detector-parameter recovery, and causal-replay analysis on real experimental measurements.</w:t>
      </w:r>
    </w:p>
    <w:p>
      <w:r>
        <w:rPr>
          <w:i w:val="0"/>
        </w:rPr>
        <w:t>The next major milestone is blind external validation.</w:t>
      </w:r>
    </w:p>
    <w:p>
      <w:pPr>
        <w:pStyle w:val="Heading1"/>
      </w:pPr>
      <w:r>
        <w:t>Software Availability</w:t>
      </w:r>
    </w:p>
    <w:p>
      <w:r>
        <w:rPr>
          <w:i w:val="0"/>
        </w:rPr>
        <w:t>Quantum Measurement Stack: https://github.com/srikarr20/qms-platform</w:t>
      </w:r>
    </w:p>
    <w:p>
      <w:r>
        <w:rPr>
          <w:i w:val="0"/>
        </w:rPr>
        <w:t>Version: QMS Platform v0.4.0</w:t>
      </w:r>
    </w:p>
    <w:p>
      <w:r>
        <w:rPr>
          <w:i w:val="0"/>
        </w:rPr>
        <w:t>License: Apache-2.0</w:t>
      </w:r>
    </w:p>
    <w:p>
      <w:pPr>
        <w:pStyle w:val="Heading1"/>
      </w:pPr>
      <w:r>
        <w:t>Author</w:t>
      </w:r>
    </w:p>
    <w:p>
      <w:r>
        <w:rPr>
          <w:i w:val="0"/>
        </w:rPr>
        <w:t>Srikar R.</w:t>
        <w:br/>
        <w:t>Independent Research</w:t>
        <w:br/>
        <w:t>ORCID: 0009-0002-9398-0847</w:t>
        <w:br/>
        <w:t>r.srikar.30@gmail.com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Srikar R. | Independent Research | Apache-2.0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6"/>
      </w:rPr>
      <w:t>Quantum Measurement Stack (QMS) - v0.4.0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360" w:right="360"/>
    </w:pPr>
    <w:rPr>
      <w:rFonts w:ascii="Courier New" w:hAnsi="Courier New" w:eastAsia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