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324F"/>
          <w:sz w:val="56"/>
        </w:rPr>
        <w:t>QMS + Pyxel Adaptive Measurement Twin</w:t>
      </w:r>
    </w:p>
    <w:p>
      <w:pPr>
        <w:jc w:val="center"/>
      </w:pPr>
      <w:r>
        <w:rPr>
          <w:color w:val="2C5F8A"/>
          <w:sz w:val="28"/>
        </w:rPr>
        <w:t>Observability, Inference, Prediction, Adaptation, and Real-Measurement Validation</w:t>
      </w:r>
    </w:p>
    <w:p/>
    <w:p>
      <w:pPr>
        <w:jc w:val="center"/>
      </w:pPr>
      <w:r>
        <w:rPr>
          <w:b/>
        </w:rPr>
        <w:t>QMS Platform | Pyxel 3.0.2 | Glasgow single-photon detector validation</w:t>
      </w:r>
    </w:p>
    <w:p>
      <w:pPr>
        <w:jc w:val="center"/>
      </w:pPr>
      <w:r>
        <w:rPr>
          <w:color w:val="5B6770"/>
        </w:rPr>
        <w:t>Scientific consolidation report</w:t>
      </w:r>
    </w:p>
    <w:p/>
    <w:p>
      <w:pPr>
        <w:pStyle w:val="ExecutiveCallout"/>
        <w:jc w:val="center"/>
      </w:pPr>
      <w:r>
        <w:t>Core proposition: Pyxel provides the detector forward model; QMS adds observability, inference assurance, model-measurement comparison, prediction, innovation monitoring, and selective adaptation.</w:t>
      </w:r>
    </w:p>
    <w:p>
      <w:r>
        <w:br w:type="page"/>
      </w:r>
    </w:p>
    <w:p>
      <w:pPr>
        <w:pStyle w:val="Heading1"/>
      </w:pPr>
      <w:r>
        <w:t>1. Executive Summary</w:t>
      </w:r>
    </w:p>
    <w:p>
      <w:r>
        <w:t>This report consolidates the QMS–Pyxel detector-twin program and the subsequent real-data Glasgow experimental-twin program. The work progressed from static measurement diagnostics into a stage-aware, adaptive, predictive measurement-system twin.</w:t>
      </w:r>
    </w:p>
    <w:p>
      <w:r>
        <w:t>The central architectural idea is complementary rather than competitive: Pyxel models what a detector does, while QMS asks whether the detector/model remains consistent with what is being observed, what information is observable at each pipeline stage, what supported parameters can be inferred, and when the model should adapt.</w:t>
      </w:r>
    </w:p>
    <w:p>
      <w:pPr>
        <w:jc w:val="center"/>
      </w:pPr>
      <w:r>
        <w:rPr>
          <w:rFonts w:ascii="Cambria Math" w:hAnsi="Cambria Math"/>
          <w:i/>
          <w:sz w:val="22"/>
        </w:rPr>
        <w:t>measurement source → QMS ↔ Pyxel detector model</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324F"/>
            <w:vAlign w:val="center"/>
          </w:tcPr>
          <w:p>
            <w:r>
              <w:rPr>
                <w:b/>
                <w:color w:val="FFFFFF"/>
                <w:sz w:val="18"/>
              </w:rPr>
              <w:t>Validation layer</w:t>
            </w:r>
          </w:p>
        </w:tc>
        <w:tc>
          <w:tcPr>
            <w:tcW w:type="dxa" w:w="5472"/>
            <w:shd w:fill="16324F"/>
            <w:vAlign w:val="center"/>
          </w:tcPr>
          <w:p>
            <w:r>
              <w:rPr>
                <w:b/>
                <w:color w:val="FFFFFF"/>
                <w:sz w:val="18"/>
              </w:rPr>
              <w:t>What was demonstrated</w:t>
            </w:r>
          </w:p>
        </w:tc>
        <w:tc>
          <w:tcPr>
            <w:tcW w:type="dxa" w:w="3024"/>
            <w:shd w:fill="16324F"/>
            <w:vAlign w:val="center"/>
          </w:tcPr>
          <w:p>
            <w:r>
              <w:rPr>
                <w:b/>
                <w:color w:val="FFFFFF"/>
                <w:sz w:val="18"/>
              </w:rPr>
              <w:t>Boundary</w:t>
            </w:r>
          </w:p>
        </w:tc>
      </w:tr>
      <w:tr>
        <w:tc>
          <w:tcPr>
            <w:tcW w:type="dxa" w:w="2160"/>
            <w:vAlign w:val="center"/>
          </w:tcPr>
          <w:p>
            <w:r>
              <w:rPr>
                <w:sz w:val="18"/>
              </w:rPr>
              <w:t>Controlled Pyxel</w:t>
            </w:r>
          </w:p>
        </w:tc>
        <w:tc>
          <w:tcPr>
            <w:tcW w:type="dxa" w:w="5472"/>
            <w:vAlign w:val="center"/>
          </w:tcPr>
          <w:p>
            <w:r>
              <w:rPr>
                <w:sz w:val="18"/>
              </w:rPr>
              <w:t>Stage-aware observability, inverse parameter recovery, multi-mechanism separation, prediction, innovation gating, selective adaptation, streaming and external ingest.</w:t>
            </w:r>
          </w:p>
        </w:tc>
        <w:tc>
          <w:tcPr>
            <w:tcW w:type="dxa" w:w="3024"/>
            <w:vAlign w:val="center"/>
          </w:tcPr>
          <w:p>
            <w:r>
              <w:rPr>
                <w:sz w:val="18"/>
              </w:rPr>
              <w:t>Computational validation within known Pyxel model families.</w:t>
            </w:r>
          </w:p>
        </w:tc>
      </w:tr>
      <w:tr>
        <w:tc>
          <w:tcPr>
            <w:tcW w:type="dxa" w:w="2160"/>
            <w:vAlign w:val="center"/>
          </w:tcPr>
          <w:p>
            <w:r>
              <w:rPr>
                <w:sz w:val="18"/>
              </w:rPr>
              <w:t>Real Glasgow data</w:t>
            </w:r>
          </w:p>
        </w:tc>
        <w:tc>
          <w:tcPr>
            <w:tcW w:type="dxa" w:w="5472"/>
            <w:vAlign w:val="center"/>
          </w:tcPr>
          <w:p>
            <w:r>
              <w:rPr>
                <w:sz w:val="18"/>
              </w:rPr>
              <w:t>Causal measurement-state tracking, one-step prediction, prospective surprise detection, spatial localization, alert consolidation and causal-baseline robustness.</w:t>
            </w:r>
          </w:p>
        </w:tc>
        <w:tc>
          <w:tcPr>
            <w:tcW w:type="dxa" w:w="3024"/>
            <w:vAlign w:val="center"/>
          </w:tcPr>
          <w:p>
            <w:r>
              <w:rPr>
                <w:sz w:val="18"/>
              </w:rPr>
              <w:t>Observable measurement-state claims only; no calibrated physical degradation inference.</w:t>
            </w:r>
          </w:p>
        </w:tc>
      </w:tr>
    </w:tbl>
    <w:p/>
    <w:p>
      <w:pPr>
        <w:pStyle w:val="Heading1"/>
      </w:pPr>
      <w:r>
        <w:t>2. Research Progression</w:t>
      </w:r>
    </w:p>
    <w:p>
      <w:r>
        <w:t>The overall progression achieved in this work is:</w:t>
      </w:r>
    </w:p>
    <w:p>
      <w:pPr>
        <w:jc w:val="center"/>
      </w:pPr>
      <w:r>
        <w:rPr>
          <w:rFonts w:ascii="Cambria Math" w:hAnsi="Cambria Math"/>
          <w:i/>
          <w:sz w:val="22"/>
        </w:rPr>
        <w:t>static diagnostics → adaptive computational twin → predictive twin → external-stream twin → real experimental measurement-state twin</w:t>
      </w:r>
    </w:p>
    <w:p>
      <w:r>
        <w:t>The detector twin is not the ultimate scientific objective. It is the measurement layer required before attempting any trustworthy inference about an underlying physical or quantum environment.</w:t>
      </w:r>
    </w:p>
    <w:p>
      <w:pPr>
        <w:pStyle w:val="Heading1"/>
      </w:pPr>
      <w:r>
        <w:t>3. Controlled Pyxel Detector-Twin Program</w:t>
      </w:r>
    </w:p>
    <w:p>
      <w:pPr>
        <w:pStyle w:val="Heading2"/>
      </w:pPr>
      <w:r>
        <w:t>3.1 Controlled environment</w:t>
      </w:r>
    </w:p>
    <w:p>
      <w:r>
        <w:t>A local Pyxel 3.0.2 configuration was used with a fixed synthetic 450 × 450 detector scene. The detector pipeline included photon loading, photoelectron generation, charge collection, charge transfer, measurement, output-node noise, amplification, and ADC conversion.</w:t>
      </w:r>
    </w:p>
    <w:p>
      <w:pPr>
        <w:pStyle w:val="ListBullet"/>
      </w:pPr>
      <w:r>
        <w:t>Controlled mechanism 1: parallel charge-transfer inefficiency (CTI) using Pyxel's CDM implementation.</w:t>
      </w:r>
    </w:p>
    <w:p>
      <w:pPr>
        <w:pStyle w:val="ListBullet"/>
      </w:pPr>
      <w:r>
        <w:t>Controlled mechanism 2: downstream output-node/readout noise.</w:t>
      </w:r>
    </w:p>
    <w:p>
      <w:pPr>
        <w:pStyle w:val="ListBullet"/>
      </w:pPr>
      <w:r>
        <w:t>CTI trap-density values were computational sensitivity points, not claims of representative ESA detector damage.</w:t>
      </w:r>
    </w:p>
    <w:p>
      <w:pPr>
        <w:pStyle w:val="Heading2"/>
      </w:pPr>
      <w:r>
        <w:t>3.2 Stage-aware observability</w:t>
      </w:r>
    </w:p>
    <w:p>
      <w:r>
        <w:t>A key result was that diagnostic information can exist at one Pyxel representation stage and be suppressed at another.</w:t>
      </w:r>
    </w:p>
    <w:p>
      <w:pPr>
        <w:pStyle w:val="ListBullet"/>
      </w:pPr>
      <w:r>
        <w:t>Weak CTI was clearly observable in the intermediate Pixel representation but could be nearly erased in the final Image after ADC quantization.</w:t>
      </w:r>
    </w:p>
    <w:p>
      <w:pPr>
        <w:pStyle w:val="ListBullet"/>
      </w:pPr>
      <w:r>
        <w:t>Output-node noise was absent at Pixel and appeared downstream in the final Image.</w:t>
      </w:r>
    </w:p>
    <w:p>
      <w:pPr>
        <w:jc w:val="center"/>
      </w:pPr>
      <w:r>
        <w:rPr>
          <w:rFonts w:ascii="Cambria Math" w:hAnsi="Cambria Math"/>
          <w:i/>
          <w:sz w:val="22"/>
        </w:rPr>
        <w:t>mechanism → pipeline stage → observable signature</w:t>
      </w:r>
    </w:p>
    <w:p>
      <w:r>
        <w:t>This supports retaining intermediate detector representations when diagnosing model/measurement divergence instead of relying only on the final image.</w:t>
      </w:r>
    </w:p>
    <w:p>
      <w:pPr>
        <w:pStyle w:val="Heading2"/>
      </w:pPr>
      <w:r>
        <w:t>3.3 Mechanism-specific signatures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324F"/>
            <w:vAlign w:val="center"/>
          </w:tcPr>
          <w:p>
            <w:r>
              <w:rPr>
                <w:b/>
                <w:color w:val="FFFFFF"/>
                <w:sz w:val="18"/>
              </w:rPr>
              <w:t>Mechanism</w:t>
            </w:r>
          </w:p>
        </w:tc>
        <w:tc>
          <w:tcPr>
            <w:tcW w:type="dxa" w:w="2160"/>
            <w:shd w:fill="16324F"/>
            <w:vAlign w:val="center"/>
          </w:tcPr>
          <w:p>
            <w:r>
              <w:rPr>
                <w:b/>
                <w:color w:val="FFFFFF"/>
                <w:sz w:val="18"/>
              </w:rPr>
              <w:t>First useful stage</w:t>
            </w:r>
          </w:p>
        </w:tc>
        <w:tc>
          <w:tcPr>
            <w:tcW w:type="dxa" w:w="6048"/>
            <w:shd w:fill="16324F"/>
            <w:vAlign w:val="center"/>
          </w:tcPr>
          <w:p>
            <w:r>
              <w:rPr>
                <w:b/>
                <w:color w:val="FFFFFF"/>
                <w:sz w:val="18"/>
              </w:rPr>
              <w:t>Observed signature</w:t>
            </w:r>
          </w:p>
        </w:tc>
      </w:tr>
      <w:tr>
        <w:tc>
          <w:tcPr>
            <w:tcW w:type="dxa" w:w="2160"/>
            <w:vAlign w:val="center"/>
          </w:tcPr>
          <w:p>
            <w:r>
              <w:rPr>
                <w:sz w:val="18"/>
              </w:rPr>
              <w:t>Parallel CTI</w:t>
            </w:r>
          </w:p>
        </w:tc>
        <w:tc>
          <w:tcPr>
            <w:tcW w:type="dxa" w:w="2160"/>
            <w:vAlign w:val="center"/>
          </w:tcPr>
          <w:p>
            <w:r>
              <w:rPr>
                <w:sz w:val="18"/>
              </w:rPr>
              <w:t>Pixel</w:t>
            </w:r>
          </w:p>
        </w:tc>
        <w:tc>
          <w:tcPr>
            <w:tcW w:type="dxa" w:w="6048"/>
            <w:vAlign w:val="center"/>
          </w:tcPr>
          <w:p>
            <w:r>
              <w:rPr>
                <w:sz w:val="18"/>
              </w:rPr>
              <w:t>Directionally structured perturbation aligned with configured transfer direction; predominantly negative Pixel perturbation.</w:t>
            </w:r>
          </w:p>
        </w:tc>
      </w:tr>
      <w:tr>
        <w:tc>
          <w:tcPr>
            <w:tcW w:type="dxa" w:w="2160"/>
            <w:vAlign w:val="center"/>
          </w:tcPr>
          <w:p>
            <w:r>
              <w:rPr>
                <w:sz w:val="18"/>
              </w:rPr>
              <w:t>Output-node noise</w:t>
            </w:r>
          </w:p>
        </w:tc>
        <w:tc>
          <w:tcPr>
            <w:tcW w:type="dxa" w:w="2160"/>
            <w:vAlign w:val="center"/>
          </w:tcPr>
          <w:p>
            <w:r>
              <w:rPr>
                <w:sz w:val="18"/>
              </w:rPr>
              <w:t>Image/downstream</w:t>
            </w:r>
          </w:p>
        </w:tc>
        <w:tc>
          <w:tcPr>
            <w:tcW w:type="dxa" w:w="6048"/>
            <w:vAlign w:val="center"/>
          </w:tcPr>
          <w:p>
            <w:r>
              <w:rPr>
                <w:sz w:val="18"/>
              </w:rPr>
              <w:t>No upstream Pixel effect; approximately symmetric positive/negative downstream fluctuations.</w:t>
            </w:r>
          </w:p>
        </w:tc>
      </w:tr>
    </w:tbl>
    <w:p/>
    <w:p>
      <w:pPr>
        <w:pStyle w:val="Heading2"/>
      </w:pPr>
      <w:r>
        <w:t>3.4 Snapshot inverse twin</w:t>
      </w:r>
    </w:p>
    <w:p>
      <w:r>
        <w:t>A blind CTI condition outside the discrete reference library was generated with true trap density 5 × 10^9. The twin detected divergence, localized the first divergence to Pixel, attributed it to the CTI family, and continuously fit the CTI density.</w:t>
      </w:r>
    </w:p>
    <w:tbl>
      <w:tblPr>
        <w:tblStyle w:val="TableGrid"/>
        <w:tblW w:type="auto" w:w="0"/>
        <w:jc w:val="center"/>
        <w:tblLook w:firstColumn="1" w:firstRow="1" w:lastColumn="0" w:lastRow="0" w:noHBand="0" w:noVBand="1" w:val="04A0"/>
      </w:tblPr>
      <w:tblGrid>
        <w:gridCol w:w="5040"/>
        <w:gridCol w:w="5040"/>
      </w:tblGrid>
      <w:tr>
        <w:tc>
          <w:tcPr>
            <w:tcW w:type="dxa" w:w="4320"/>
            <w:shd w:fill="16324F"/>
            <w:vAlign w:val="center"/>
          </w:tcPr>
          <w:p>
            <w:r>
              <w:rPr>
                <w:b/>
                <w:color w:val="FFFFFF"/>
                <w:sz w:val="18"/>
              </w:rPr>
              <w:t>Quantity</w:t>
            </w:r>
          </w:p>
        </w:tc>
        <w:tc>
          <w:tcPr>
            <w:tcW w:type="dxa" w:w="5760"/>
            <w:shd w:fill="16324F"/>
            <w:vAlign w:val="center"/>
          </w:tcPr>
          <w:p>
            <w:r>
              <w:rPr>
                <w:b/>
                <w:color w:val="FFFFFF"/>
                <w:sz w:val="18"/>
              </w:rPr>
              <w:t>Result</w:t>
            </w:r>
          </w:p>
        </w:tc>
      </w:tr>
      <w:tr>
        <w:tc>
          <w:tcPr>
            <w:tcW w:type="dxa" w:w="4320"/>
            <w:vAlign w:val="center"/>
          </w:tcPr>
          <w:p>
            <w:r>
              <w:rPr>
                <w:sz w:val="18"/>
              </w:rPr>
              <w:t>True CTI density</w:t>
            </w:r>
          </w:p>
        </w:tc>
        <w:tc>
          <w:tcPr>
            <w:tcW w:type="dxa" w:w="5760"/>
            <w:vAlign w:val="center"/>
          </w:tcPr>
          <w:p>
            <w:r>
              <w:rPr>
                <w:sz w:val="18"/>
              </w:rPr>
              <w:t>5 × 10^9</w:t>
            </w:r>
          </w:p>
        </w:tc>
      </w:tr>
      <w:tr>
        <w:tc>
          <w:tcPr>
            <w:tcW w:type="dxa" w:w="4320"/>
            <w:vAlign w:val="center"/>
          </w:tcPr>
          <w:p>
            <w:r>
              <w:rPr>
                <w:sz w:val="18"/>
              </w:rPr>
              <w:t>Estimated CTI density</w:t>
            </w:r>
          </w:p>
        </w:tc>
        <w:tc>
          <w:tcPr>
            <w:tcW w:type="dxa" w:w="5760"/>
            <w:vAlign w:val="center"/>
          </w:tcPr>
          <w:p>
            <w:r>
              <w:rPr>
                <w:sz w:val="18"/>
              </w:rPr>
              <w:t>≈ 4.9999995 × 10^9</w:t>
            </w:r>
          </w:p>
        </w:tc>
      </w:tr>
      <w:tr>
        <w:tc>
          <w:tcPr>
            <w:tcW w:type="dxa" w:w="4320"/>
            <w:vAlign w:val="center"/>
          </w:tcPr>
          <w:p>
            <w:r>
              <w:rPr>
                <w:sz w:val="18"/>
              </w:rPr>
              <w:t>Pixel residual before adaptation</w:t>
            </w:r>
          </w:p>
        </w:tc>
        <w:tc>
          <w:tcPr>
            <w:tcW w:type="dxa" w:w="5760"/>
            <w:vAlign w:val="center"/>
          </w:tcPr>
          <w:p>
            <w:r>
              <w:rPr>
                <w:sz w:val="18"/>
              </w:rPr>
              <w:t>≈ 1.4506 RMSE</w:t>
            </w:r>
          </w:p>
        </w:tc>
      </w:tr>
      <w:tr>
        <w:tc>
          <w:tcPr>
            <w:tcW w:type="dxa" w:w="4320"/>
            <w:vAlign w:val="center"/>
          </w:tcPr>
          <w:p>
            <w:r>
              <w:rPr>
                <w:sz w:val="18"/>
              </w:rPr>
              <w:t>Pixel residual after adaptation</w:t>
            </w:r>
          </w:p>
        </w:tc>
        <w:tc>
          <w:tcPr>
            <w:tcW w:type="dxa" w:w="5760"/>
            <w:vAlign w:val="center"/>
          </w:tcPr>
          <w:p>
            <w:r>
              <w:rPr>
                <w:sz w:val="18"/>
              </w:rPr>
              <w:t>≈ 1.5 × 10^-7 RMSE</w:t>
            </w:r>
          </w:p>
        </w:tc>
      </w:tr>
      <w:tr>
        <w:tc>
          <w:tcPr>
            <w:tcW w:type="dxa" w:w="4320"/>
            <w:vAlign w:val="center"/>
          </w:tcPr>
          <w:p>
            <w:r>
              <w:rPr>
                <w:sz w:val="18"/>
              </w:rPr>
              <w:t>Residual reduction</w:t>
            </w:r>
          </w:p>
        </w:tc>
        <w:tc>
          <w:tcPr>
            <w:tcW w:type="dxa" w:w="5760"/>
            <w:vAlign w:val="center"/>
          </w:tcPr>
          <w:p>
            <w:r>
              <w:rPr>
                <w:sz w:val="18"/>
              </w:rPr>
              <w:t>≈ 99.99999%</w:t>
            </w:r>
          </w:p>
        </w:tc>
      </w:tr>
    </w:tbl>
    <w:p/>
    <w:p>
      <w:pPr>
        <w:pStyle w:val="SmallNote"/>
      </w:pPr>
      <w:r>
        <w:t>This is controlled inverse recovery within the same known Pyxel CDM family. It is not evidence of absolute trap-density accuracy on a real detector.</w:t>
      </w:r>
    </w:p>
    <w:p>
      <w:pPr>
        <w:pStyle w:val="Heading2"/>
      </w:pPr>
      <w:r>
        <w:t>3.5 Hierarchical multi-mechanism decomposition</w:t>
      </w:r>
    </w:p>
    <w:p>
      <w:r>
        <w:t>A mixed condition containing CTI and output-node noise was decomposed by exploiting pipeline location. CTI was inferred from the upstream Pixel state, the model was adapted, and the remaining downstream Image residual was then used to infer the readout-noise component.</w:t>
      </w:r>
    </w:p>
    <w:p>
      <w:pPr>
        <w:jc w:val="center"/>
      </w:pPr>
      <w:r>
        <w:rPr>
          <w:rFonts w:ascii="Cambria Math" w:hAnsi="Cambria Math"/>
          <w:i/>
          <w:sz w:val="22"/>
        </w:rPr>
        <w:t>mixed observation → upstream mechanism → adapt → downstream residual → second mechanism</w:t>
      </w:r>
    </w:p>
    <w:p>
      <w:pPr>
        <w:pStyle w:val="Heading2"/>
      </w:pPr>
      <w:r>
        <w:t>3.6 Nonlinear noise calibration</w:t>
      </w:r>
    </w:p>
    <w:p>
      <w:r>
        <w:t>The original single-point noise estimator produced about 11.394% mean relative error. An empirical 11-level Pyxel calibration was then built for the nonlinear transfer from output-node noise amplitude to final Image residual standard deviation.</w:t>
      </w:r>
    </w:p>
    <w:tbl>
      <w:tblPr>
        <w:tblStyle w:val="TableGrid"/>
        <w:tblW w:type="auto" w:w="0"/>
        <w:jc w:val="center"/>
        <w:tblLook w:firstColumn="1" w:firstRow="1" w:lastColumn="0" w:lastRow="0" w:noHBand="0" w:noVBand="1" w:val="04A0"/>
      </w:tblPr>
      <w:tblGrid>
        <w:gridCol w:w="3360"/>
        <w:gridCol w:w="3360"/>
        <w:gridCol w:w="3360"/>
      </w:tblGrid>
      <w:tr>
        <w:tc>
          <w:tcPr>
            <w:tcW w:type="dxa" w:w="4608"/>
            <w:shd w:fill="16324F"/>
            <w:vAlign w:val="center"/>
          </w:tcPr>
          <w:p>
            <w:r>
              <w:rPr>
                <w:b/>
                <w:color w:val="FFFFFF"/>
                <w:sz w:val="18"/>
              </w:rPr>
              <w:t>Metric</w:t>
            </w:r>
          </w:p>
        </w:tc>
        <w:tc>
          <w:tcPr>
            <w:tcW w:type="dxa" w:w="2880"/>
            <w:shd w:fill="16324F"/>
            <w:vAlign w:val="center"/>
          </w:tcPr>
          <w:p>
            <w:r>
              <w:rPr>
                <w:b/>
                <w:color w:val="FFFFFF"/>
                <w:sz w:val="18"/>
              </w:rPr>
              <w:t>Before calibration</w:t>
            </w:r>
          </w:p>
        </w:tc>
        <w:tc>
          <w:tcPr>
            <w:tcW w:type="dxa" w:w="2880"/>
            <w:shd w:fill="16324F"/>
            <w:vAlign w:val="center"/>
          </w:tcPr>
          <w:p>
            <w:r>
              <w:rPr>
                <w:b/>
                <w:color w:val="FFFFFF"/>
                <w:sz w:val="18"/>
              </w:rPr>
              <w:t>After nonlinear calibration</w:t>
            </w:r>
          </w:p>
        </w:tc>
      </w:tr>
      <w:tr>
        <w:tc>
          <w:tcPr>
            <w:tcW w:type="dxa" w:w="4608"/>
            <w:vAlign w:val="center"/>
          </w:tcPr>
          <w:p>
            <w:r>
              <w:rPr>
                <w:sz w:val="18"/>
              </w:rPr>
              <w:t>Mean absolute noise relative error</w:t>
            </w:r>
          </w:p>
        </w:tc>
        <w:tc>
          <w:tcPr>
            <w:tcW w:type="dxa" w:w="2880"/>
            <w:vAlign w:val="center"/>
          </w:tcPr>
          <w:p>
            <w:r>
              <w:rPr>
                <w:sz w:val="18"/>
              </w:rPr>
              <w:t>11.394%</w:t>
            </w:r>
          </w:p>
        </w:tc>
        <w:tc>
          <w:tcPr>
            <w:tcW w:type="dxa" w:w="2880"/>
            <w:vAlign w:val="center"/>
          </w:tcPr>
          <w:p>
            <w:r>
              <w:rPr>
                <w:sz w:val="18"/>
              </w:rPr>
              <w:t>0.135%</w:t>
            </w:r>
          </w:p>
        </w:tc>
      </w:tr>
      <w:tr>
        <w:tc>
          <w:tcPr>
            <w:tcW w:type="dxa" w:w="4608"/>
            <w:vAlign w:val="center"/>
          </w:tcPr>
          <w:p>
            <w:r>
              <w:rPr>
                <w:sz w:val="18"/>
              </w:rPr>
              <w:t>Maximum absolute noise relative error</w:t>
            </w:r>
          </w:p>
        </w:tc>
        <w:tc>
          <w:tcPr>
            <w:tcW w:type="dxa" w:w="2880"/>
            <w:vAlign w:val="center"/>
          </w:tcPr>
          <w:p>
            <w:r>
              <w:rPr>
                <w:sz w:val="18"/>
              </w:rPr>
              <w:t>—</w:t>
            </w:r>
          </w:p>
        </w:tc>
        <w:tc>
          <w:tcPr>
            <w:tcW w:type="dxa" w:w="2880"/>
            <w:vAlign w:val="center"/>
          </w:tcPr>
          <w:p>
            <w:r>
              <w:rPr>
                <w:sz w:val="18"/>
              </w:rPr>
              <w:t>0.243%</w:t>
            </w:r>
          </w:p>
        </w:tc>
      </w:tr>
    </w:tbl>
    <w:p/>
    <w:p>
      <w:pPr>
        <w:pStyle w:val="SmallNote"/>
      </w:pPr>
      <w:r>
        <w:t>These results are specific to the controlled detector configuration, scene, gain, readout and ADC chain.</w:t>
      </w:r>
    </w:p>
    <w:p>
      <w:pPr>
        <w:pStyle w:val="Heading2"/>
      </w:pPr>
      <w:r>
        <w:t>3.7 Monte Carlo validation</w:t>
      </w:r>
    </w:p>
    <w:p>
      <w:r>
        <w:t>Twenty independent mixed CTI + output-noise simulations were evaluated. CTI estimates remained essentially identical because the stochastic output-node noise enters downstream of Pixel, while the noise estimate varied across trials as expected.</w:t>
      </w:r>
    </w:p>
    <w:tbl>
      <w:tblPr>
        <w:tblStyle w:val="TableGrid"/>
        <w:tblW w:type="auto" w:w="0"/>
        <w:jc w:val="center"/>
        <w:tblLook w:firstColumn="1" w:firstRow="1" w:lastColumn="0" w:lastRow="0" w:noHBand="0" w:noVBand="1" w:val="04A0"/>
      </w:tblPr>
      <w:tblGrid>
        <w:gridCol w:w="5040"/>
        <w:gridCol w:w="5040"/>
      </w:tblGrid>
      <w:tr>
        <w:tc>
          <w:tcPr>
            <w:tcW w:type="dxa" w:w="5040"/>
            <w:shd w:fill="16324F"/>
            <w:vAlign w:val="center"/>
          </w:tcPr>
          <w:p>
            <w:r>
              <w:rPr>
                <w:b/>
                <w:color w:val="FFFFFF"/>
                <w:sz w:val="18"/>
              </w:rPr>
              <w:t>Quantity</w:t>
            </w:r>
          </w:p>
        </w:tc>
        <w:tc>
          <w:tcPr>
            <w:tcW w:type="dxa" w:w="5328"/>
            <w:shd w:fill="16324F"/>
            <w:vAlign w:val="center"/>
          </w:tcPr>
          <w:p>
            <w:r>
              <w:rPr>
                <w:b/>
                <w:color w:val="FFFFFF"/>
                <w:sz w:val="18"/>
              </w:rPr>
              <w:t>Monte Carlo result</w:t>
            </w:r>
          </w:p>
        </w:tc>
      </w:tr>
      <w:tr>
        <w:tc>
          <w:tcPr>
            <w:tcW w:type="dxa" w:w="5040"/>
            <w:vAlign w:val="center"/>
          </w:tcPr>
          <w:p>
            <w:r>
              <w:rPr>
                <w:sz w:val="18"/>
              </w:rPr>
              <w:t>True CTI</w:t>
            </w:r>
          </w:p>
        </w:tc>
        <w:tc>
          <w:tcPr>
            <w:tcW w:type="dxa" w:w="5328"/>
            <w:vAlign w:val="center"/>
          </w:tcPr>
          <w:p>
            <w:r>
              <w:rPr>
                <w:sz w:val="18"/>
              </w:rPr>
              <w:t>5 × 10^9</w:t>
            </w:r>
          </w:p>
        </w:tc>
      </w:tr>
      <w:tr>
        <w:tc>
          <w:tcPr>
            <w:tcW w:type="dxa" w:w="5040"/>
            <w:vAlign w:val="center"/>
          </w:tcPr>
          <w:p>
            <w:r>
              <w:rPr>
                <w:sz w:val="18"/>
              </w:rPr>
              <w:t>Mean CTI estimate</w:t>
            </w:r>
          </w:p>
        </w:tc>
        <w:tc>
          <w:tcPr>
            <w:tcW w:type="dxa" w:w="5328"/>
            <w:vAlign w:val="center"/>
          </w:tcPr>
          <w:p>
            <w:r>
              <w:rPr>
                <w:sz w:val="18"/>
              </w:rPr>
              <w:t>≈ 4.9999995 × 10^9</w:t>
            </w:r>
          </w:p>
        </w:tc>
      </w:tr>
      <w:tr>
        <w:tc>
          <w:tcPr>
            <w:tcW w:type="dxa" w:w="5040"/>
            <w:vAlign w:val="center"/>
          </w:tcPr>
          <w:p>
            <w:r>
              <w:rPr>
                <w:sz w:val="18"/>
              </w:rPr>
              <w:t>Mean Pixel residual reduction</w:t>
            </w:r>
          </w:p>
        </w:tc>
        <w:tc>
          <w:tcPr>
            <w:tcW w:type="dxa" w:w="5328"/>
            <w:vAlign w:val="center"/>
          </w:tcPr>
          <w:p>
            <w:r>
              <w:rPr>
                <w:sz w:val="18"/>
              </w:rPr>
              <w:t>≈ 99.99999%</w:t>
            </w:r>
          </w:p>
        </w:tc>
      </w:tr>
      <w:tr>
        <w:tc>
          <w:tcPr>
            <w:tcW w:type="dxa" w:w="5040"/>
            <w:vAlign w:val="center"/>
          </w:tcPr>
          <w:p>
            <w:r>
              <w:rPr>
                <w:sz w:val="18"/>
              </w:rPr>
              <w:t>True output noise</w:t>
            </w:r>
          </w:p>
        </w:tc>
        <w:tc>
          <w:tcPr>
            <w:tcW w:type="dxa" w:w="5328"/>
            <w:vAlign w:val="center"/>
          </w:tcPr>
          <w:p>
            <w:r>
              <w:rPr>
                <w:sz w:val="18"/>
              </w:rPr>
              <w:t>5 × 10^-4</w:t>
            </w:r>
          </w:p>
        </w:tc>
      </w:tr>
      <w:tr>
        <w:tc>
          <w:tcPr>
            <w:tcW w:type="dxa" w:w="5040"/>
            <w:vAlign w:val="center"/>
          </w:tcPr>
          <w:p>
            <w:r>
              <w:rPr>
                <w:sz w:val="18"/>
              </w:rPr>
              <w:t>Mean noise estimate</w:t>
            </w:r>
          </w:p>
        </w:tc>
        <w:tc>
          <w:tcPr>
            <w:tcW w:type="dxa" w:w="5328"/>
            <w:vAlign w:val="center"/>
          </w:tcPr>
          <w:p>
            <w:r>
              <w:rPr>
                <w:sz w:val="18"/>
              </w:rPr>
              <w:t>≈ 4.9982 × 10^-4</w:t>
            </w:r>
          </w:p>
        </w:tc>
      </w:tr>
      <w:tr>
        <w:tc>
          <w:tcPr>
            <w:tcW w:type="dxa" w:w="5040"/>
            <w:vAlign w:val="center"/>
          </w:tcPr>
          <w:p>
            <w:r>
              <w:rPr>
                <w:sz w:val="18"/>
              </w:rPr>
              <w:t>Mean absolute noise relative error</w:t>
            </w:r>
          </w:p>
        </w:tc>
        <w:tc>
          <w:tcPr>
            <w:tcW w:type="dxa" w:w="5328"/>
            <w:vAlign w:val="center"/>
          </w:tcPr>
          <w:p>
            <w:r>
              <w:rPr>
                <w:sz w:val="18"/>
              </w:rPr>
              <w:t>≈ 0.156%</w:t>
            </w:r>
          </w:p>
        </w:tc>
      </w:tr>
    </w:tbl>
    <w:p/>
    <w:p>
      <w:pPr>
        <w:pStyle w:val="Heading2"/>
      </w:pPr>
      <w:r>
        <w:t>3.8 Time-indexed detector twin</w:t>
      </w:r>
    </w:p>
    <w:p>
      <w:r>
        <w:t>A six-state computational trajectory was generated with CTI densities from 10^8 to 2 × 10^10 and output-node noise from 10^-4 to 10^-3. The twin recovered the evolving parameter state, establishing a time-indexed detector twin rather than a single snapshot.</w:t>
      </w:r>
    </w:p>
    <w:p>
      <w:pPr>
        <w:jc w:val="center"/>
      </w:pPr>
      <w:r>
        <w:rPr>
          <w:rFonts w:ascii="Cambria Math" w:hAnsi="Cambria Math"/>
          <w:i/>
          <w:sz w:val="22"/>
        </w:rPr>
        <w:t>T(t) = { CTI_hat(t), sigma_hat(t) }</w:t>
      </w:r>
    </w:p>
    <w:p>
      <w:pPr>
        <w:pStyle w:val="Heading2"/>
      </w:pPr>
      <w:r>
        <w:t>3.9 Prediction and innovation</w:t>
      </w:r>
    </w:p>
    <w:p>
      <w:r>
        <w:t>A simple one-step constant-velocity predictor was introduced. Its purpose was not to maximize forecasting accuracy but to create an expectation against which unexpected evolution could be measured.</w:t>
      </w:r>
    </w:p>
    <w:tbl>
      <w:tblPr>
        <w:tblStyle w:val="TableGrid"/>
        <w:tblW w:type="auto" w:w="0"/>
        <w:jc w:val="center"/>
        <w:tblLook w:firstColumn="1" w:firstRow="1" w:lastColumn="0" w:lastRow="0" w:noHBand="0" w:noVBand="1" w:val="04A0"/>
      </w:tblPr>
      <w:tblGrid>
        <w:gridCol w:w="5040"/>
        <w:gridCol w:w="5040"/>
      </w:tblGrid>
      <w:tr>
        <w:tc>
          <w:tcPr>
            <w:tcW w:type="dxa" w:w="5760"/>
            <w:shd w:fill="16324F"/>
            <w:vAlign w:val="center"/>
          </w:tcPr>
          <w:p>
            <w:r>
              <w:rPr>
                <w:b/>
                <w:color w:val="FFFFFF"/>
                <w:sz w:val="18"/>
              </w:rPr>
              <w:t>Prediction metric</w:t>
            </w:r>
          </w:p>
        </w:tc>
        <w:tc>
          <w:tcPr>
            <w:tcW w:type="dxa" w:w="4320"/>
            <w:shd w:fill="16324F"/>
            <w:vAlign w:val="center"/>
          </w:tcPr>
          <w:p>
            <w:r>
              <w:rPr>
                <w:b/>
                <w:color w:val="FFFFFF"/>
                <w:sz w:val="18"/>
              </w:rPr>
              <w:t>Observed mean error</w:t>
            </w:r>
          </w:p>
        </w:tc>
      </w:tr>
      <w:tr>
        <w:tc>
          <w:tcPr>
            <w:tcW w:type="dxa" w:w="5760"/>
            <w:vAlign w:val="center"/>
          </w:tcPr>
          <w:p>
            <w:r>
              <w:rPr>
                <w:sz w:val="18"/>
              </w:rPr>
              <w:t>CTI</w:t>
            </w:r>
          </w:p>
        </w:tc>
        <w:tc>
          <w:tcPr>
            <w:tcW w:type="dxa" w:w="4320"/>
            <w:vAlign w:val="center"/>
          </w:tcPr>
          <w:p>
            <w:r>
              <w:rPr>
                <w:sz w:val="18"/>
              </w:rPr>
              <w:t>28.75%</w:t>
            </w:r>
          </w:p>
        </w:tc>
      </w:tr>
      <w:tr>
        <w:tc>
          <w:tcPr>
            <w:tcW w:type="dxa" w:w="5760"/>
            <w:vAlign w:val="center"/>
          </w:tcPr>
          <w:p>
            <w:r>
              <w:rPr>
                <w:sz w:val="18"/>
              </w:rPr>
              <w:t>Output-node noise</w:t>
            </w:r>
          </w:p>
        </w:tc>
        <w:tc>
          <w:tcPr>
            <w:tcW w:type="dxa" w:w="4320"/>
            <w:vAlign w:val="center"/>
          </w:tcPr>
          <w:p>
            <w:r>
              <w:rPr>
                <w:sz w:val="18"/>
              </w:rPr>
              <w:t>7.63%</w:t>
            </w:r>
          </w:p>
        </w:tc>
      </w:tr>
    </w:tbl>
    <w:p/>
    <w:p>
      <w:pPr>
        <w:jc w:val="center"/>
      </w:pPr>
      <w:r>
        <w:rPr>
          <w:rFonts w:ascii="Cambria Math" w:hAnsi="Cambria Math"/>
          <w:i/>
          <w:sz w:val="22"/>
        </w:rPr>
        <w:t>innovation = observed state − predicted state</w:t>
      </w:r>
    </w:p>
    <w:p>
      <w:r>
        <w:t>Large prediction errors occurred at abrupt parameter transitions, showing that prediction failure itself can serve as a useful model-consistency signal.</w:t>
      </w:r>
    </w:p>
    <w:p>
      <w:pPr>
        <w:pStyle w:val="Heading2"/>
      </w:pPr>
      <w:r>
        <w:t>3.10 Innovation-gated adaptation</w:t>
      </w:r>
    </w:p>
    <w:p>
      <w:r>
        <w:t>The controller classified evolution as expected or unexpected. Ordinary transitions were assimilated; larger parameter changes triggered re-estimation and adaptation.</w:t>
      </w:r>
    </w:p>
    <w:p>
      <w:pPr>
        <w:jc w:val="center"/>
      </w:pPr>
      <w:r>
        <w:rPr>
          <w:rFonts w:ascii="Cambria Math" w:hAnsi="Cambria Math"/>
          <w:i/>
          <w:sz w:val="22"/>
        </w:rPr>
        <w:t>predict → observe → innovation → gate → assimilate OR re-estimate/adapt</w:t>
      </w:r>
    </w:p>
    <w:p>
      <w:pPr>
        <w:pStyle w:val="Heading2"/>
      </w:pPr>
      <w:r>
        <w:t>3.11 Persistent streaming and external ingestion</w:t>
      </w:r>
    </w:p>
    <w:p>
      <w:r>
        <w:t>The twin was converted from offline analysis into sequential persistent operation. It then received an externalized measurement through a file-based observation contract rather than directly from its internal experiment directory.</w:t>
      </w:r>
    </w:p>
    <w:tbl>
      <w:tblPr>
        <w:tblStyle w:val="TableGrid"/>
        <w:tblW w:type="auto" w:w="0"/>
        <w:jc w:val="center"/>
        <w:tblLook w:firstColumn="1" w:firstRow="1" w:lastColumn="0" w:lastRow="0" w:noHBand="0" w:noVBand="1" w:val="04A0"/>
      </w:tblPr>
      <w:tblGrid>
        <w:gridCol w:w="5040"/>
        <w:gridCol w:w="5040"/>
      </w:tblGrid>
      <w:tr>
        <w:tc>
          <w:tcPr>
            <w:tcW w:type="dxa" w:w="6048"/>
            <w:shd w:fill="16324F"/>
            <w:vAlign w:val="center"/>
          </w:tcPr>
          <w:p>
            <w:r>
              <w:rPr>
                <w:b/>
                <w:color w:val="FFFFFF"/>
                <w:sz w:val="18"/>
              </w:rPr>
              <w:t>External observation test</w:t>
            </w:r>
          </w:p>
        </w:tc>
        <w:tc>
          <w:tcPr>
            <w:tcW w:type="dxa" w:w="4032"/>
            <w:shd w:fill="16324F"/>
            <w:vAlign w:val="center"/>
          </w:tcPr>
          <w:p>
            <w:r>
              <w:rPr>
                <w:b/>
                <w:color w:val="FFFFFF"/>
                <w:sz w:val="18"/>
              </w:rPr>
              <w:t>Recovered value</w:t>
            </w:r>
          </w:p>
        </w:tc>
      </w:tr>
      <w:tr>
        <w:tc>
          <w:tcPr>
            <w:tcW w:type="dxa" w:w="6048"/>
            <w:vAlign w:val="center"/>
          </w:tcPr>
          <w:p>
            <w:r>
              <w:rPr>
                <w:sz w:val="18"/>
              </w:rPr>
              <w:t>CTI</w:t>
            </w:r>
          </w:p>
        </w:tc>
        <w:tc>
          <w:tcPr>
            <w:tcW w:type="dxa" w:w="4032"/>
            <w:vAlign w:val="center"/>
          </w:tcPr>
          <w:p>
            <w:r>
              <w:rPr>
                <w:sz w:val="18"/>
              </w:rPr>
              <w:t>≈ 4.9999998 × 10^9</w:t>
            </w:r>
          </w:p>
        </w:tc>
      </w:tr>
      <w:tr>
        <w:tc>
          <w:tcPr>
            <w:tcW w:type="dxa" w:w="6048"/>
            <w:vAlign w:val="center"/>
          </w:tcPr>
          <w:p>
            <w:r>
              <w:rPr>
                <w:sz w:val="18"/>
              </w:rPr>
              <w:t>Output-node noise</w:t>
            </w:r>
          </w:p>
        </w:tc>
        <w:tc>
          <w:tcPr>
            <w:tcW w:type="dxa" w:w="4032"/>
            <w:vAlign w:val="center"/>
          </w:tcPr>
          <w:p>
            <w:r>
              <w:rPr>
                <w:sz w:val="18"/>
              </w:rPr>
              <w:t>≈ 5.0036 × 10^-4</w:t>
            </w:r>
          </w:p>
        </w:tc>
      </w:tr>
      <w:tr>
        <w:tc>
          <w:tcPr>
            <w:tcW w:type="dxa" w:w="6048"/>
            <w:vAlign w:val="center"/>
          </w:tcPr>
          <w:p>
            <w:r>
              <w:rPr>
                <w:sz w:val="18"/>
              </w:rPr>
              <w:t>Pixel fit residual</w:t>
            </w:r>
          </w:p>
        </w:tc>
        <w:tc>
          <w:tcPr>
            <w:tcW w:type="dxa" w:w="4032"/>
            <w:vAlign w:val="center"/>
          </w:tcPr>
          <w:p>
            <w:r>
              <w:rPr>
                <w:sz w:val="18"/>
              </w:rPr>
              <w:t>≈ 5.96 × 10^-8</w:t>
            </w:r>
          </w:p>
        </w:tc>
      </w:tr>
    </w:tbl>
    <w:p/>
    <w:p>
      <w:r>
        <w:t>A six-state external sequence reproduced the same assimilation/re-estimation behavior, establishing the architectural separation between observation source and Pyxel model side.</w:t>
      </w:r>
    </w:p>
    <w:p>
      <w:r>
        <w:br w:type="page"/>
      </w:r>
    </w:p>
    <w:p>
      <w:pPr>
        <w:pStyle w:val="Heading1"/>
      </w:pPr>
      <w:r>
        <w:t>4. Real Glasgow Experimental Measurement-State Twin</w:t>
      </w:r>
    </w:p>
    <w:p>
      <w:pPr>
        <w:pStyle w:val="Heading2"/>
      </w:pPr>
      <w:r>
        <w:t>4.1 Dataset and ingestion</w:t>
      </w:r>
    </w:p>
    <w:p>
      <w:r>
        <w:t>The real-data layer used the Glasgow Heralded Diffraction SM single-photon detector sequence. The source consists of cumulative 512 × 512 detector-count states. The existing QMS adapter reconstructs real acquisition increments as D_t = F_t − F_(t−1), with negative increments treated as violations of the cumulative assumption.</w:t>
      </w:r>
    </w:p>
    <w:tbl>
      <w:tblPr>
        <w:tblStyle w:val="TableGrid"/>
        <w:tblW w:type="auto" w:w="0"/>
        <w:jc w:val="center"/>
        <w:tblLook w:firstColumn="1" w:firstRow="1" w:lastColumn="0" w:lastRow="0" w:noHBand="0" w:noVBand="1" w:val="04A0"/>
      </w:tblPr>
      <w:tblGrid>
        <w:gridCol w:w="5040"/>
        <w:gridCol w:w="5040"/>
      </w:tblGrid>
      <w:tr>
        <w:tc>
          <w:tcPr>
            <w:tcW w:type="dxa" w:w="5184"/>
            <w:shd w:fill="16324F"/>
            <w:vAlign w:val="center"/>
          </w:tcPr>
          <w:p>
            <w:r>
              <w:rPr>
                <w:b/>
                <w:color w:val="FFFFFF"/>
                <w:sz w:val="18"/>
              </w:rPr>
              <w:t>Dataset property</w:t>
            </w:r>
          </w:p>
        </w:tc>
        <w:tc>
          <w:tcPr>
            <w:tcW w:type="dxa" w:w="4896"/>
            <w:shd w:fill="16324F"/>
            <w:vAlign w:val="center"/>
          </w:tcPr>
          <w:p>
            <w:r>
              <w:rPr>
                <w:b/>
                <w:color w:val="FFFFFF"/>
                <w:sz w:val="18"/>
              </w:rPr>
              <w:t>Value</w:t>
            </w:r>
          </w:p>
        </w:tc>
      </w:tr>
      <w:tr>
        <w:tc>
          <w:tcPr>
            <w:tcW w:type="dxa" w:w="5184"/>
            <w:vAlign w:val="center"/>
          </w:tcPr>
          <w:p>
            <w:r>
              <w:rPr>
                <w:sz w:val="18"/>
              </w:rPr>
              <w:t>Detector increment count</w:t>
            </w:r>
          </w:p>
        </w:tc>
        <w:tc>
          <w:tcPr>
            <w:tcW w:type="dxa" w:w="4896"/>
            <w:vAlign w:val="center"/>
          </w:tcPr>
          <w:p>
            <w:r>
              <w:rPr>
                <w:sz w:val="18"/>
              </w:rPr>
              <w:t>4,069</w:t>
            </w:r>
          </w:p>
        </w:tc>
      </w:tr>
      <w:tr>
        <w:tc>
          <w:tcPr>
            <w:tcW w:type="dxa" w:w="5184"/>
            <w:vAlign w:val="center"/>
          </w:tcPr>
          <w:p>
            <w:r>
              <w:rPr>
                <w:sz w:val="18"/>
              </w:rPr>
              <w:t>Analysis window</w:t>
            </w:r>
          </w:p>
        </w:tc>
        <w:tc>
          <w:tcPr>
            <w:tcW w:type="dxa" w:w="4896"/>
            <w:vAlign w:val="center"/>
          </w:tcPr>
          <w:p>
            <w:r>
              <w:rPr>
                <w:sz w:val="18"/>
              </w:rPr>
              <w:t>100 increments</w:t>
            </w:r>
          </w:p>
        </w:tc>
      </w:tr>
      <w:tr>
        <w:tc>
          <w:tcPr>
            <w:tcW w:type="dxa" w:w="5184"/>
            <w:vAlign w:val="center"/>
          </w:tcPr>
          <w:p>
            <w:r>
              <w:rPr>
                <w:sz w:val="18"/>
              </w:rPr>
              <w:t>Observable representation</w:t>
            </w:r>
          </w:p>
        </w:tc>
        <w:tc>
          <w:tcPr>
            <w:tcW w:type="dxa" w:w="4896"/>
            <w:vAlign w:val="center"/>
          </w:tcPr>
          <w:p>
            <w:r>
              <w:rPr>
                <w:sz w:val="18"/>
              </w:rPr>
              <w:t>Normalized 32 × 32 detector distribution</w:t>
            </w:r>
          </w:p>
        </w:tc>
      </w:tr>
      <w:tr>
        <w:tc>
          <w:tcPr>
            <w:tcW w:type="dxa" w:w="5184"/>
            <w:vAlign w:val="center"/>
          </w:tcPr>
          <w:p>
            <w:r>
              <w:rPr>
                <w:sz w:val="18"/>
              </w:rPr>
              <w:t>Physical CTI/noise ground truth</w:t>
            </w:r>
          </w:p>
        </w:tc>
        <w:tc>
          <w:tcPr>
            <w:tcW w:type="dxa" w:w="4896"/>
            <w:vAlign w:val="center"/>
          </w:tcPr>
          <w:p>
            <w:r>
              <w:rPr>
                <w:sz w:val="18"/>
              </w:rPr>
              <w:t>Not available / not inferred</w:t>
            </w:r>
          </w:p>
        </w:tc>
      </w:tr>
    </w:tbl>
    <w:p/>
    <w:p>
      <w:pPr>
        <w:pStyle w:val="Heading2"/>
      </w:pPr>
      <w:r>
        <w:t>4.2 Observable state tracking</w:t>
      </w:r>
    </w:p>
    <w:p>
      <w:r>
        <w:t>Because no calibrated physical degradation model was available for the Glasgow detector, the real-data twin was intentionally kept in observable measurement space rather than assigning synthetic CTI or noise labels.</w:t>
      </w:r>
    </w:p>
    <w:p>
      <w:pPr>
        <w:jc w:val="center"/>
      </w:pPr>
      <w:r>
        <w:rPr>
          <w:rFonts w:ascii="Cambria Math" w:hAnsi="Cambria Math"/>
          <w:i/>
          <w:sz w:val="22"/>
        </w:rPr>
        <w:t>real measurement → observable measurement state</w:t>
      </w:r>
    </w:p>
    <w:p>
      <w:r>
        <w:t>Initial CONVERGING / DIVERGING / MIXED labels were noisy. Three-window temporal smoothing reduced label transitions from 2,550 to 1,603, a 37.137% reduction.</w:t>
      </w:r>
    </w:p>
    <w:p>
      <w:pPr>
        <w:pStyle w:val="Heading2"/>
      </w:pPr>
      <w:r>
        <w:t>4.3 Predictive measurement-state twin</w:t>
      </w:r>
    </w:p>
    <w:p>
      <w:r>
        <w:t>The observable twin state used cosine similarity and Jensen-Shannon divergence. A one-step predictor generated expected next-state values and the innovation norm quantified unexpected measurement-distribution evolution.</w:t>
      </w:r>
    </w:p>
    <w:tbl>
      <w:tblPr>
        <w:tblStyle w:val="TableGrid"/>
        <w:tblW w:type="auto" w:w="0"/>
        <w:jc w:val="center"/>
        <w:tblLook w:firstColumn="1" w:firstRow="1" w:lastColumn="0" w:lastRow="0" w:noHBand="0" w:noVBand="1" w:val="04A0"/>
      </w:tblPr>
      <w:tblGrid>
        <w:gridCol w:w="5040"/>
        <w:gridCol w:w="5040"/>
      </w:tblGrid>
      <w:tr>
        <w:tc>
          <w:tcPr>
            <w:tcW w:type="dxa" w:w="6048"/>
            <w:shd w:fill="16324F"/>
            <w:vAlign w:val="center"/>
          </w:tcPr>
          <w:p>
            <w:r>
              <w:rPr>
                <w:b/>
                <w:color w:val="FFFFFF"/>
                <w:sz w:val="18"/>
              </w:rPr>
              <w:t>Predictive statistic</w:t>
            </w:r>
          </w:p>
        </w:tc>
        <w:tc>
          <w:tcPr>
            <w:tcW w:type="dxa" w:w="4032"/>
            <w:shd w:fill="16324F"/>
            <w:vAlign w:val="center"/>
          </w:tcPr>
          <w:p>
            <w:r>
              <w:rPr>
                <w:b/>
                <w:color w:val="FFFFFF"/>
                <w:sz w:val="18"/>
              </w:rPr>
              <w:t>Value</w:t>
            </w:r>
          </w:p>
        </w:tc>
      </w:tr>
      <w:tr>
        <w:tc>
          <w:tcPr>
            <w:tcW w:type="dxa" w:w="6048"/>
            <w:vAlign w:val="center"/>
          </w:tcPr>
          <w:p>
            <w:r>
              <w:rPr>
                <w:sz w:val="18"/>
              </w:rPr>
              <w:t>Predictions</w:t>
            </w:r>
          </w:p>
        </w:tc>
        <w:tc>
          <w:tcPr>
            <w:tcW w:type="dxa" w:w="4032"/>
            <w:vAlign w:val="center"/>
          </w:tcPr>
          <w:p>
            <w:r>
              <w:rPr>
                <w:sz w:val="18"/>
              </w:rPr>
              <w:t>3,968</w:t>
            </w:r>
          </w:p>
        </w:tc>
      </w:tr>
      <w:tr>
        <w:tc>
          <w:tcPr>
            <w:tcW w:type="dxa" w:w="6048"/>
            <w:vAlign w:val="center"/>
          </w:tcPr>
          <w:p>
            <w:r>
              <w:rPr>
                <w:sz w:val="18"/>
              </w:rPr>
              <w:t>Mean innovation norm</w:t>
            </w:r>
          </w:p>
        </w:tc>
        <w:tc>
          <w:tcPr>
            <w:tcW w:type="dxa" w:w="4032"/>
            <w:vAlign w:val="center"/>
          </w:tcPr>
          <w:p>
            <w:r>
              <w:rPr>
                <w:sz w:val="18"/>
              </w:rPr>
              <w:t>0.00592392</w:t>
            </w:r>
          </w:p>
        </w:tc>
      </w:tr>
      <w:tr>
        <w:tc>
          <w:tcPr>
            <w:tcW w:type="dxa" w:w="6048"/>
            <w:vAlign w:val="center"/>
          </w:tcPr>
          <w:p>
            <w:r>
              <w:rPr>
                <w:sz w:val="18"/>
              </w:rPr>
              <w:t>P95 innovation norm</w:t>
            </w:r>
          </w:p>
        </w:tc>
        <w:tc>
          <w:tcPr>
            <w:tcW w:type="dxa" w:w="4032"/>
            <w:vAlign w:val="center"/>
          </w:tcPr>
          <w:p>
            <w:r>
              <w:rPr>
                <w:sz w:val="18"/>
              </w:rPr>
              <w:t>0.01432935</w:t>
            </w:r>
          </w:p>
        </w:tc>
      </w:tr>
      <w:tr>
        <w:tc>
          <w:tcPr>
            <w:tcW w:type="dxa" w:w="6048"/>
            <w:vAlign w:val="center"/>
          </w:tcPr>
          <w:p>
            <w:r>
              <w:rPr>
                <w:sz w:val="18"/>
              </w:rPr>
              <w:t>Maximum innovation norm</w:t>
            </w:r>
          </w:p>
        </w:tc>
        <w:tc>
          <w:tcPr>
            <w:tcW w:type="dxa" w:w="4032"/>
            <w:vAlign w:val="center"/>
          </w:tcPr>
          <w:p>
            <w:r>
              <w:rPr>
                <w:sz w:val="18"/>
              </w:rPr>
              <w:t>0.15447367</w:t>
            </w:r>
          </w:p>
        </w:tc>
      </w:tr>
    </w:tbl>
    <w:p/>
    <w:p>
      <w:pPr>
        <w:pStyle w:val="Heading2"/>
      </w:pPr>
      <w:r>
        <w:t>4.4 Overlap and temporal-dependence controls</w:t>
      </w:r>
    </w:p>
    <w:p>
      <w:r>
        <w:t>Because adjacent 100-increment sliding windows share most of their data, naïve adjacent-event clustering would overstate independence. The analysis therefore retained non-overlapping states spaced by approximately one full window and then used dependence-aware checks.</w:t>
      </w:r>
    </w:p>
    <w:tbl>
      <w:tblPr>
        <w:tblStyle w:val="TableGrid"/>
        <w:tblW w:type="auto" w:w="0"/>
        <w:jc w:val="center"/>
        <w:tblLook w:firstColumn="1" w:firstRow="1" w:lastColumn="0" w:lastRow="0" w:noHBand="0" w:noVBand="1" w:val="04A0"/>
      </w:tblPr>
      <w:tblGrid>
        <w:gridCol w:w="5040"/>
        <w:gridCol w:w="5040"/>
      </w:tblGrid>
      <w:tr>
        <w:tc>
          <w:tcPr>
            <w:tcW w:type="dxa" w:w="6048"/>
            <w:shd w:fill="16324F"/>
            <w:vAlign w:val="center"/>
          </w:tcPr>
          <w:p>
            <w:r>
              <w:rPr>
                <w:b/>
                <w:color w:val="FFFFFF"/>
                <w:sz w:val="18"/>
              </w:rPr>
              <w:t>Non-overlap statistic</w:t>
            </w:r>
          </w:p>
        </w:tc>
        <w:tc>
          <w:tcPr>
            <w:tcW w:type="dxa" w:w="4032"/>
            <w:shd w:fill="16324F"/>
            <w:vAlign w:val="center"/>
          </w:tcPr>
          <w:p>
            <w:r>
              <w:rPr>
                <w:b/>
                <w:color w:val="FFFFFF"/>
                <w:sz w:val="18"/>
              </w:rPr>
              <w:t>Value</w:t>
            </w:r>
          </w:p>
        </w:tc>
      </w:tr>
      <w:tr>
        <w:tc>
          <w:tcPr>
            <w:tcW w:type="dxa" w:w="6048"/>
            <w:vAlign w:val="center"/>
          </w:tcPr>
          <w:p>
            <w:r>
              <w:rPr>
                <w:sz w:val="18"/>
              </w:rPr>
              <w:t>Samples</w:t>
            </w:r>
          </w:p>
        </w:tc>
        <w:tc>
          <w:tcPr>
            <w:tcW w:type="dxa" w:w="4032"/>
            <w:vAlign w:val="center"/>
          </w:tcPr>
          <w:p>
            <w:r>
              <w:rPr>
                <w:sz w:val="18"/>
              </w:rPr>
              <w:t>40</w:t>
            </w:r>
          </w:p>
        </w:tc>
      </w:tr>
      <w:tr>
        <w:tc>
          <w:tcPr>
            <w:tcW w:type="dxa" w:w="6048"/>
            <w:vAlign w:val="center"/>
          </w:tcPr>
          <w:p>
            <w:r>
              <w:rPr>
                <w:sz w:val="18"/>
              </w:rPr>
              <w:t>Mean innovation</w:t>
            </w:r>
          </w:p>
        </w:tc>
        <w:tc>
          <w:tcPr>
            <w:tcW w:type="dxa" w:w="4032"/>
            <w:vAlign w:val="center"/>
          </w:tcPr>
          <w:p>
            <w:r>
              <w:rPr>
                <w:sz w:val="18"/>
              </w:rPr>
              <w:t>0.00936706</w:t>
            </w:r>
          </w:p>
        </w:tc>
      </w:tr>
      <w:tr>
        <w:tc>
          <w:tcPr>
            <w:tcW w:type="dxa" w:w="6048"/>
            <w:vAlign w:val="center"/>
          </w:tcPr>
          <w:p>
            <w:r>
              <w:rPr>
                <w:sz w:val="18"/>
              </w:rPr>
              <w:t>P95</w:t>
            </w:r>
          </w:p>
        </w:tc>
        <w:tc>
          <w:tcPr>
            <w:tcW w:type="dxa" w:w="4032"/>
            <w:vAlign w:val="center"/>
          </w:tcPr>
          <w:p>
            <w:r>
              <w:rPr>
                <w:sz w:val="18"/>
              </w:rPr>
              <w:t>0.01689180</w:t>
            </w:r>
          </w:p>
        </w:tc>
      </w:tr>
      <w:tr>
        <w:tc>
          <w:tcPr>
            <w:tcW w:type="dxa" w:w="6048"/>
            <w:vAlign w:val="center"/>
          </w:tcPr>
          <w:p>
            <w:r>
              <w:rPr>
                <w:sz w:val="18"/>
              </w:rPr>
              <w:t>Maximum</w:t>
            </w:r>
          </w:p>
        </w:tc>
        <w:tc>
          <w:tcPr>
            <w:tcW w:type="dxa" w:w="4032"/>
            <w:vAlign w:val="center"/>
          </w:tcPr>
          <w:p>
            <w:r>
              <w:rPr>
                <w:sz w:val="18"/>
              </w:rPr>
              <w:t>0.10427151</w:t>
            </w:r>
          </w:p>
        </w:tc>
      </w:tr>
      <w:tr>
        <w:tc>
          <w:tcPr>
            <w:tcW w:type="dxa" w:w="6048"/>
            <w:vAlign w:val="center"/>
          </w:tcPr>
          <w:p>
            <w:r>
              <w:rPr>
                <w:sz w:val="18"/>
              </w:rPr>
              <w:t>Lag-1 innovation correlation</w:t>
            </w:r>
          </w:p>
        </w:tc>
        <w:tc>
          <w:tcPr>
            <w:tcW w:type="dxa" w:w="4032"/>
            <w:vAlign w:val="center"/>
          </w:tcPr>
          <w:p>
            <w:r>
              <w:rPr>
                <w:sz w:val="18"/>
              </w:rPr>
              <w:t>0.456596</w:t>
            </w:r>
          </w:p>
        </w:tc>
      </w:tr>
    </w:tbl>
    <w:p/>
    <w:p>
      <w:pPr>
        <w:pStyle w:val="Heading2"/>
      </w:pPr>
      <w:r>
        <w:t>4.5 Spatial characterization of major excursions</w:t>
      </w:r>
    </w:p>
    <w:p>
      <w:r>
        <w:t>Large innovations near 701 and 801 were investigated at the same 100-increment scale used by the twin. Both showed substantial changes in normalized spatial distribution despite only modest changes in total counts.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shd w:fill="16324F"/>
            <w:vAlign w:val="center"/>
          </w:tcPr>
          <w:p>
            <w:r>
              <w:rPr>
                <w:b/>
                <w:color w:val="FFFFFF"/>
                <w:sz w:val="18"/>
              </w:rPr>
              <w:t>Target</w:t>
            </w:r>
          </w:p>
        </w:tc>
        <w:tc>
          <w:tcPr>
            <w:tcW w:type="dxa" w:w="2592"/>
            <w:shd w:fill="16324F"/>
            <w:vAlign w:val="center"/>
          </w:tcPr>
          <w:p>
            <w:r>
              <w:rPr>
                <w:b/>
                <w:color w:val="FFFFFF"/>
                <w:sz w:val="18"/>
              </w:rPr>
              <w:t>Count change</w:t>
            </w:r>
          </w:p>
        </w:tc>
        <w:tc>
          <w:tcPr>
            <w:tcW w:type="dxa" w:w="2304"/>
            <w:shd w:fill="16324F"/>
            <w:vAlign w:val="center"/>
          </w:tcPr>
          <w:p>
            <w:r>
              <w:rPr>
                <w:b/>
                <w:color w:val="FFFFFF"/>
                <w:sz w:val="18"/>
              </w:rPr>
              <w:t>Cosine previous→current</w:t>
            </w:r>
          </w:p>
        </w:tc>
        <w:tc>
          <w:tcPr>
            <w:tcW w:type="dxa" w:w="2160"/>
            <w:shd w:fill="16324F"/>
            <w:vAlign w:val="center"/>
          </w:tcPr>
          <w:p>
            <w:r>
              <w:rPr>
                <w:b/>
                <w:color w:val="FFFFFF"/>
                <w:sz w:val="18"/>
              </w:rPr>
              <w:t>JS previous→current</w:t>
            </w:r>
          </w:p>
        </w:tc>
        <w:tc>
          <w:tcPr>
            <w:tcW w:type="dxa" w:w="2304"/>
            <w:shd w:fill="16324F"/>
            <w:vAlign w:val="center"/>
          </w:tcPr>
          <w:p>
            <w:r>
              <w:rPr>
                <w:b/>
                <w:color w:val="FFFFFF"/>
                <w:sz w:val="18"/>
              </w:rPr>
              <w:t>Centroid shift</w:t>
            </w:r>
          </w:p>
        </w:tc>
      </w:tr>
      <w:tr>
        <w:tc>
          <w:tcPr>
            <w:tcW w:type="dxa" w:w="1152"/>
            <w:vAlign w:val="center"/>
          </w:tcPr>
          <w:p>
            <w:r>
              <w:rPr>
                <w:sz w:val="18"/>
              </w:rPr>
              <w:t>701</w:t>
            </w:r>
          </w:p>
        </w:tc>
        <w:tc>
          <w:tcPr>
            <w:tcW w:type="dxa" w:w="2592"/>
            <w:vAlign w:val="center"/>
          </w:tcPr>
          <w:p>
            <w:r>
              <w:rPr>
                <w:sz w:val="18"/>
              </w:rPr>
              <w:t>+104 counts (~10.9%)</w:t>
            </w:r>
          </w:p>
        </w:tc>
        <w:tc>
          <w:tcPr>
            <w:tcW w:type="dxa" w:w="2304"/>
            <w:vAlign w:val="center"/>
          </w:tcPr>
          <w:p>
            <w:r>
              <w:rPr>
                <w:sz w:val="18"/>
              </w:rPr>
              <w:t>0.568779</w:t>
            </w:r>
          </w:p>
        </w:tc>
        <w:tc>
          <w:tcPr>
            <w:tcW w:type="dxa" w:w="2160"/>
            <w:vAlign w:val="center"/>
          </w:tcPr>
          <w:p>
            <w:r>
              <w:rPr>
                <w:sz w:val="18"/>
              </w:rPr>
              <w:t>0.289870</w:t>
            </w:r>
          </w:p>
        </w:tc>
        <w:tc>
          <w:tcPr>
            <w:tcW w:type="dxa" w:w="2304"/>
            <w:vAlign w:val="center"/>
          </w:tcPr>
          <w:p>
            <w:r>
              <w:rPr>
                <w:sz w:val="18"/>
              </w:rPr>
              <w:t>(+0.685, +11.200) px</w:t>
            </w:r>
          </w:p>
        </w:tc>
      </w:tr>
      <w:tr>
        <w:tc>
          <w:tcPr>
            <w:tcW w:type="dxa" w:w="1152"/>
            <w:vAlign w:val="center"/>
          </w:tcPr>
          <w:p>
            <w:r>
              <w:rPr>
                <w:sz w:val="18"/>
              </w:rPr>
              <w:t>801</w:t>
            </w:r>
          </w:p>
        </w:tc>
        <w:tc>
          <w:tcPr>
            <w:tcW w:type="dxa" w:w="2592"/>
            <w:vAlign w:val="center"/>
          </w:tcPr>
          <w:p>
            <w:r>
              <w:rPr>
                <w:sz w:val="18"/>
              </w:rPr>
              <w:t>-52 counts (~4.9%)</w:t>
            </w:r>
          </w:p>
        </w:tc>
        <w:tc>
          <w:tcPr>
            <w:tcW w:type="dxa" w:w="2304"/>
            <w:vAlign w:val="center"/>
          </w:tcPr>
          <w:p>
            <w:r>
              <w:rPr>
                <w:sz w:val="18"/>
              </w:rPr>
              <w:t>0.553469</w:t>
            </w:r>
          </w:p>
        </w:tc>
        <w:tc>
          <w:tcPr>
            <w:tcW w:type="dxa" w:w="2160"/>
            <w:vAlign w:val="center"/>
          </w:tcPr>
          <w:p>
            <w:r>
              <w:rPr>
                <w:sz w:val="18"/>
              </w:rPr>
              <w:t>0.306619</w:t>
            </w:r>
          </w:p>
        </w:tc>
        <w:tc>
          <w:tcPr>
            <w:tcW w:type="dxa" w:w="2304"/>
            <w:vAlign w:val="center"/>
          </w:tcPr>
          <w:p>
            <w:r>
              <w:rPr>
                <w:sz w:val="18"/>
              </w:rPr>
              <w:t>(+15.886, +1.985) px</w:t>
            </w:r>
          </w:p>
        </w:tc>
      </w:tr>
    </w:tbl>
    <w:p/>
    <w:p>
      <w:r>
        <w:t>The redistribution was broad rather than a single-pixel phenomenon: roughly 63–64 of 1,024 cells accounted for 50% of absolute redistribution and more than 200 cells were required to explain 90%.</w:t>
      </w:r>
    </w:p>
    <w:p>
      <w:pPr>
        <w:pStyle w:val="Heading2"/>
      </w:pPr>
      <w:r>
        <w:t>4.6 Transition geometry</w:t>
      </w:r>
    </w:p>
    <w:p>
      <w:r>
        <w:t>The 701→801 transition partially reversed the previous transition direction: reversal cosine ≈ 0.627 and magnitude-weighted sign reversal ≈ 84.9%. However, sequence-wide comparison placed this below the P90 of reversal strength, so a stronger claim of a unique physical state reversal was rejected.</w:t>
      </w:r>
    </w:p>
    <w:p>
      <w:pPr>
        <w:pStyle w:val="Heading2"/>
      </w:pPr>
      <w:r>
        <w:t>4.7 Prediction surprise versus ordinary change</w:t>
      </w:r>
    </w:p>
    <w:p>
      <w:r>
        <w:t>A central finding is that predictive innovation was only weakly associated with ordinary transition metrics.</w:t>
      </w:r>
    </w:p>
    <w:tbl>
      <w:tblPr>
        <w:tblStyle w:val="TableGrid"/>
        <w:tblW w:type="auto" w:w="0"/>
        <w:jc w:val="center"/>
        <w:tblLook w:firstColumn="1" w:firstRow="1" w:lastColumn="0" w:lastRow="0" w:noHBand="0" w:noVBand="1" w:val="04A0"/>
      </w:tblPr>
      <w:tblGrid>
        <w:gridCol w:w="5040"/>
        <w:gridCol w:w="5040"/>
      </w:tblGrid>
      <w:tr>
        <w:tc>
          <w:tcPr>
            <w:tcW w:type="dxa" w:w="6480"/>
            <w:shd w:fill="16324F"/>
            <w:vAlign w:val="center"/>
          </w:tcPr>
          <w:p>
            <w:r>
              <w:rPr>
                <w:b/>
                <w:color w:val="FFFFFF"/>
                <w:sz w:val="18"/>
              </w:rPr>
              <w:t>Metric</w:t>
            </w:r>
          </w:p>
        </w:tc>
        <w:tc>
          <w:tcPr>
            <w:tcW w:type="dxa" w:w="3600"/>
            <w:shd w:fill="16324F"/>
            <w:vAlign w:val="center"/>
          </w:tcPr>
          <w:p>
            <w:r>
              <w:rPr>
                <w:b/>
                <w:color w:val="FFFFFF"/>
                <w:sz w:val="18"/>
              </w:rPr>
              <w:t>Pearson correlation with innovation</w:t>
            </w:r>
          </w:p>
        </w:tc>
      </w:tr>
      <w:tr>
        <w:tc>
          <w:tcPr>
            <w:tcW w:type="dxa" w:w="6480"/>
            <w:vAlign w:val="center"/>
          </w:tcPr>
          <w:p>
            <w:r>
              <w:rPr>
                <w:sz w:val="18"/>
              </w:rPr>
              <w:t>Transition L2</w:t>
            </w:r>
          </w:p>
        </w:tc>
        <w:tc>
          <w:tcPr>
            <w:tcW w:type="dxa" w:w="3600"/>
            <w:vAlign w:val="center"/>
          </w:tcPr>
          <w:p>
            <w:r>
              <w:rPr>
                <w:sz w:val="18"/>
              </w:rPr>
              <w:t>0.313</w:t>
            </w:r>
          </w:p>
        </w:tc>
      </w:tr>
      <w:tr>
        <w:tc>
          <w:tcPr>
            <w:tcW w:type="dxa" w:w="6480"/>
            <w:vAlign w:val="center"/>
          </w:tcPr>
          <w:p>
            <w:r>
              <w:rPr>
                <w:sz w:val="18"/>
              </w:rPr>
              <w:t>Reversal cosine</w:t>
            </w:r>
          </w:p>
        </w:tc>
        <w:tc>
          <w:tcPr>
            <w:tcW w:type="dxa" w:w="3600"/>
            <w:vAlign w:val="center"/>
          </w:tcPr>
          <w:p>
            <w:r>
              <w:rPr>
                <w:sz w:val="18"/>
              </w:rPr>
              <w:t>0.270</w:t>
            </w:r>
          </w:p>
        </w:tc>
      </w:tr>
      <w:tr>
        <w:tc>
          <w:tcPr>
            <w:tcW w:type="dxa" w:w="6480"/>
            <w:vAlign w:val="center"/>
          </w:tcPr>
          <w:p>
            <w:r>
              <w:rPr>
                <w:sz w:val="18"/>
              </w:rPr>
              <w:t>Spread change</w:t>
            </w:r>
          </w:p>
        </w:tc>
        <w:tc>
          <w:tcPr>
            <w:tcW w:type="dxa" w:w="3600"/>
            <w:vAlign w:val="center"/>
          </w:tcPr>
          <w:p>
            <w:r>
              <w:rPr>
                <w:sz w:val="18"/>
              </w:rPr>
              <w:t>0.100</w:t>
            </w:r>
          </w:p>
        </w:tc>
      </w:tr>
      <w:tr>
        <w:tc>
          <w:tcPr>
            <w:tcW w:type="dxa" w:w="6480"/>
            <w:vAlign w:val="center"/>
          </w:tcPr>
          <w:p>
            <w:r>
              <w:rPr>
                <w:sz w:val="18"/>
              </w:rPr>
              <w:t>Total variation</w:t>
            </w:r>
          </w:p>
        </w:tc>
        <w:tc>
          <w:tcPr>
            <w:tcW w:type="dxa" w:w="3600"/>
            <w:vAlign w:val="center"/>
          </w:tcPr>
          <w:p>
            <w:r>
              <w:rPr>
                <w:sz w:val="18"/>
              </w:rPr>
              <w:t>-0.090</w:t>
            </w:r>
          </w:p>
        </w:tc>
      </w:tr>
      <w:tr>
        <w:tc>
          <w:tcPr>
            <w:tcW w:type="dxa" w:w="6480"/>
            <w:vAlign w:val="center"/>
          </w:tcPr>
          <w:p>
            <w:r>
              <w:rPr>
                <w:sz w:val="18"/>
              </w:rPr>
              <w:t>Count change fraction</w:t>
            </w:r>
          </w:p>
        </w:tc>
        <w:tc>
          <w:tcPr>
            <w:tcW w:type="dxa" w:w="3600"/>
            <w:vAlign w:val="center"/>
          </w:tcPr>
          <w:p>
            <w:r>
              <w:rPr>
                <w:sz w:val="18"/>
              </w:rPr>
              <w:t>0.075</w:t>
            </w:r>
          </w:p>
        </w:tc>
      </w:tr>
      <w:tr>
        <w:tc>
          <w:tcPr>
            <w:tcW w:type="dxa" w:w="6480"/>
            <w:vAlign w:val="center"/>
          </w:tcPr>
          <w:p>
            <w:r>
              <w:rPr>
                <w:sz w:val="18"/>
              </w:rPr>
              <w:t>Centroid shift</w:t>
            </w:r>
          </w:p>
        </w:tc>
        <w:tc>
          <w:tcPr>
            <w:tcW w:type="dxa" w:w="3600"/>
            <w:vAlign w:val="center"/>
          </w:tcPr>
          <w:p>
            <w:r>
              <w:rPr>
                <w:sz w:val="18"/>
              </w:rPr>
              <w:t>-0.032</w:t>
            </w:r>
          </w:p>
        </w:tc>
      </w:tr>
    </w:tbl>
    <w:p/>
    <w:p>
      <w:r>
        <w:t>This supports the distinction between amount of change and prediction surprise: the twin reacts to evolution that is unexpected relative to its recent trajectory, not simply to the largest spatial or intensity change.</w:t>
      </w:r>
    </w:p>
    <w:p>
      <w:pPr>
        <w:pStyle w:val="Heading2"/>
      </w:pPr>
      <w:r>
        <w:t>4.8 Matched-transition surprise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shd w:fill="16324F"/>
            <w:vAlign w:val="center"/>
          </w:tcPr>
          <w:p>
            <w:r>
              <w:rPr>
                <w:b/>
                <w:color w:val="FFFFFF"/>
                <w:sz w:val="18"/>
              </w:rPr>
              <w:t>Window</w:t>
            </w:r>
          </w:p>
        </w:tc>
        <w:tc>
          <w:tcPr>
            <w:tcW w:type="dxa" w:w="2304"/>
            <w:shd w:fill="16324F"/>
            <w:vAlign w:val="center"/>
          </w:tcPr>
          <w:p>
            <w:r>
              <w:rPr>
                <w:b/>
                <w:color w:val="FFFFFF"/>
                <w:sz w:val="18"/>
              </w:rPr>
              <w:t>Observed innovation</w:t>
            </w:r>
          </w:p>
        </w:tc>
        <w:tc>
          <w:tcPr>
            <w:tcW w:type="dxa" w:w="2592"/>
            <w:shd w:fill="16324F"/>
            <w:vAlign w:val="center"/>
          </w:tcPr>
          <w:p>
            <w:r>
              <w:rPr>
                <w:b/>
                <w:color w:val="FFFFFF"/>
                <w:sz w:val="18"/>
              </w:rPr>
              <w:t>Matched median innovation</w:t>
            </w:r>
          </w:p>
        </w:tc>
        <w:tc>
          <w:tcPr>
            <w:tcW w:type="dxa" w:w="2016"/>
            <w:shd w:fill="16324F"/>
            <w:vAlign w:val="center"/>
          </w:tcPr>
          <w:p>
            <w:r>
              <w:rPr>
                <w:b/>
                <w:color w:val="FFFFFF"/>
                <w:sz w:val="18"/>
              </w:rPr>
              <w:t>Surprise ratio</w:t>
            </w:r>
          </w:p>
        </w:tc>
        <w:tc>
          <w:tcPr>
            <w:tcW w:type="dxa" w:w="1728"/>
            <w:shd w:fill="16324F"/>
            <w:vAlign w:val="center"/>
          </w:tcPr>
          <w:p>
            <w:r>
              <w:rPr>
                <w:b/>
                <w:color w:val="FFFFFF"/>
                <w:sz w:val="18"/>
              </w:rPr>
              <w:t>Sequence rank</w:t>
            </w:r>
          </w:p>
        </w:tc>
      </w:tr>
      <w:tr>
        <w:tc>
          <w:tcPr>
            <w:tcW w:type="dxa" w:w="1440"/>
            <w:vAlign w:val="center"/>
          </w:tcPr>
          <w:p>
            <w:r>
              <w:rPr>
                <w:sz w:val="18"/>
              </w:rPr>
              <w:t>701</w:t>
            </w:r>
          </w:p>
        </w:tc>
        <w:tc>
          <w:tcPr>
            <w:tcW w:type="dxa" w:w="2304"/>
            <w:vAlign w:val="center"/>
          </w:tcPr>
          <w:p>
            <w:r>
              <w:rPr>
                <w:sz w:val="18"/>
              </w:rPr>
              <w:t>0.10427151</w:t>
            </w:r>
          </w:p>
        </w:tc>
        <w:tc>
          <w:tcPr>
            <w:tcW w:type="dxa" w:w="2592"/>
            <w:vAlign w:val="center"/>
          </w:tcPr>
          <w:p>
            <w:r>
              <w:rPr>
                <w:sz w:val="18"/>
              </w:rPr>
              <w:t>0.00447372</w:t>
            </w:r>
          </w:p>
        </w:tc>
        <w:tc>
          <w:tcPr>
            <w:tcW w:type="dxa" w:w="2016"/>
            <w:vAlign w:val="center"/>
          </w:tcPr>
          <w:p>
            <w:r>
              <w:rPr>
                <w:sz w:val="18"/>
              </w:rPr>
              <w:t>23.31×</w:t>
            </w:r>
          </w:p>
        </w:tc>
        <w:tc>
          <w:tcPr>
            <w:tcW w:type="dxa" w:w="1728"/>
            <w:vAlign w:val="center"/>
          </w:tcPr>
          <w:p>
            <w:r>
              <w:rPr>
                <w:sz w:val="18"/>
              </w:rPr>
              <w:t>1/34</w:t>
            </w:r>
          </w:p>
        </w:tc>
      </w:tr>
      <w:tr>
        <w:tc>
          <w:tcPr>
            <w:tcW w:type="dxa" w:w="1440"/>
            <w:vAlign w:val="center"/>
          </w:tcPr>
          <w:p>
            <w:r>
              <w:rPr>
                <w:sz w:val="18"/>
              </w:rPr>
              <w:t>801</w:t>
            </w:r>
          </w:p>
        </w:tc>
        <w:tc>
          <w:tcPr>
            <w:tcW w:type="dxa" w:w="2304"/>
            <w:vAlign w:val="center"/>
          </w:tcPr>
          <w:p>
            <w:r>
              <w:rPr>
                <w:sz w:val="18"/>
              </w:rPr>
              <w:t>0.08869228</w:t>
            </w:r>
          </w:p>
        </w:tc>
        <w:tc>
          <w:tcPr>
            <w:tcW w:type="dxa" w:w="2592"/>
            <w:vAlign w:val="center"/>
          </w:tcPr>
          <w:p>
            <w:r>
              <w:rPr>
                <w:sz w:val="18"/>
              </w:rPr>
              <w:t>0.00583694</w:t>
            </w:r>
          </w:p>
        </w:tc>
        <w:tc>
          <w:tcPr>
            <w:tcW w:type="dxa" w:w="2016"/>
            <w:vAlign w:val="center"/>
          </w:tcPr>
          <w:p>
            <w:r>
              <w:rPr>
                <w:sz w:val="18"/>
              </w:rPr>
              <w:t>15.19×</w:t>
            </w:r>
          </w:p>
        </w:tc>
        <w:tc>
          <w:tcPr>
            <w:tcW w:type="dxa" w:w="1728"/>
            <w:vAlign w:val="center"/>
          </w:tcPr>
          <w:p>
            <w:r>
              <w:rPr>
                <w:sz w:val="18"/>
              </w:rPr>
              <w:t>2/34</w:t>
            </w:r>
          </w:p>
        </w:tc>
      </w:tr>
    </w:tbl>
    <w:p/>
    <w:p>
      <w:r>
        <w:t>These large effect sizes remained after conditioning on transitions of similar L2 magnitude. Small matched sample sizes limited p-value resolution, so effect size and ranking are more informative than the raw nearest-neighbor empirical p-values.</w:t>
      </w:r>
    </w:p>
    <w:p>
      <w:pPr>
        <w:pStyle w:val="Heading2"/>
      </w:pPr>
      <w:r>
        <w:t>4.9 Strict causal frozen-reference prospective twin</w:t>
      </w:r>
    </w:p>
    <w:p>
      <w:r>
        <w:t>Earlier convergence analyses used the final accumulated detector distribution as a reference, which contains future information. That leakage was explicitly removed. The causal twin built its reference only from increments 0–399, froze calibration through window 699, and then evaluated future observations using only prior states.</w:t>
      </w:r>
    </w:p>
    <w:tbl>
      <w:tblPr>
        <w:tblStyle w:val="TableGrid"/>
        <w:tblW w:type="auto" w:w="0"/>
        <w:jc w:val="center"/>
        <w:tblLook w:firstColumn="1" w:firstRow="1" w:lastColumn="0" w:lastRow="0" w:noHBand="0" w:noVBand="1" w:val="04A0"/>
      </w:tblPr>
      <w:tblGrid>
        <w:gridCol w:w="5040"/>
        <w:gridCol w:w="5040"/>
      </w:tblGrid>
      <w:tr>
        <w:tc>
          <w:tcPr>
            <w:tcW w:type="dxa" w:w="5472"/>
            <w:shd w:fill="16324F"/>
            <w:vAlign w:val="center"/>
          </w:tcPr>
          <w:p>
            <w:r>
              <w:rPr>
                <w:b/>
                <w:color w:val="FFFFFF"/>
                <w:sz w:val="18"/>
              </w:rPr>
              <w:t>Causal prospective quantity</w:t>
            </w:r>
          </w:p>
        </w:tc>
        <w:tc>
          <w:tcPr>
            <w:tcW w:type="dxa" w:w="4608"/>
            <w:shd w:fill="16324F"/>
            <w:vAlign w:val="center"/>
          </w:tcPr>
          <w:p>
            <w:r>
              <w:rPr>
                <w:b/>
                <w:color w:val="FFFFFF"/>
                <w:sz w:val="18"/>
              </w:rPr>
              <w:t>Value</w:t>
            </w:r>
          </w:p>
        </w:tc>
      </w:tr>
      <w:tr>
        <w:tc>
          <w:tcPr>
            <w:tcW w:type="dxa" w:w="5472"/>
            <w:vAlign w:val="center"/>
          </w:tcPr>
          <w:p>
            <w:r>
              <w:rPr>
                <w:sz w:val="18"/>
              </w:rPr>
              <w:t>Reference interval</w:t>
            </w:r>
          </w:p>
        </w:tc>
        <w:tc>
          <w:tcPr>
            <w:tcW w:type="dxa" w:w="4608"/>
            <w:vAlign w:val="center"/>
          </w:tcPr>
          <w:p>
            <w:r>
              <w:rPr>
                <w:sz w:val="18"/>
              </w:rPr>
              <w:t>increments 0–399</w:t>
            </w:r>
          </w:p>
        </w:tc>
      </w:tr>
      <w:tr>
        <w:tc>
          <w:tcPr>
            <w:tcW w:type="dxa" w:w="5472"/>
            <w:vAlign w:val="center"/>
          </w:tcPr>
          <w:p>
            <w:r>
              <w:rPr>
                <w:sz w:val="18"/>
              </w:rPr>
              <w:t>Calibration samples</w:t>
            </w:r>
          </w:p>
        </w:tc>
        <w:tc>
          <w:tcPr>
            <w:tcW w:type="dxa" w:w="4608"/>
            <w:vAlign w:val="center"/>
          </w:tcPr>
          <w:p>
            <w:r>
              <w:rPr>
                <w:sz w:val="18"/>
              </w:rPr>
              <w:t>199</w:t>
            </w:r>
          </w:p>
        </w:tc>
      </w:tr>
      <w:tr>
        <w:tc>
          <w:tcPr>
            <w:tcW w:type="dxa" w:w="5472"/>
            <w:vAlign w:val="center"/>
          </w:tcPr>
          <w:p>
            <w:r>
              <w:rPr>
                <w:sz w:val="18"/>
              </w:rPr>
              <w:t>Calibration end</w:t>
            </w:r>
          </w:p>
        </w:tc>
        <w:tc>
          <w:tcPr>
            <w:tcW w:type="dxa" w:w="4608"/>
            <w:vAlign w:val="center"/>
          </w:tcPr>
          <w:p>
            <w:r>
              <w:rPr>
                <w:sz w:val="18"/>
              </w:rPr>
              <w:t>window 699</w:t>
            </w:r>
          </w:p>
        </w:tc>
      </w:tr>
      <w:tr>
        <w:tc>
          <w:tcPr>
            <w:tcW w:type="dxa" w:w="5472"/>
            <w:vAlign w:val="center"/>
          </w:tcPr>
          <w:p>
            <w:r>
              <w:rPr>
                <w:sz w:val="18"/>
              </w:rPr>
              <w:t>Frozen threshold</w:t>
            </w:r>
          </w:p>
        </w:tc>
        <w:tc>
          <w:tcPr>
            <w:tcW w:type="dxa" w:w="4608"/>
            <w:vAlign w:val="center"/>
          </w:tcPr>
          <w:p>
            <w:r>
              <w:rPr>
                <w:sz w:val="18"/>
              </w:rPr>
              <w:t>0.02490077</w:t>
            </w:r>
          </w:p>
        </w:tc>
      </w:tr>
      <w:tr>
        <w:tc>
          <w:tcPr>
            <w:tcW w:type="dxa" w:w="5472"/>
            <w:vAlign w:val="center"/>
          </w:tcPr>
          <w:p>
            <w:r>
              <w:rPr>
                <w:sz w:val="18"/>
              </w:rPr>
              <w:t>Future test samples</w:t>
            </w:r>
          </w:p>
        </w:tc>
        <w:tc>
          <w:tcPr>
            <w:tcW w:type="dxa" w:w="4608"/>
            <w:vAlign w:val="center"/>
          </w:tcPr>
          <w:p>
            <w:r>
              <w:rPr>
                <w:sz w:val="18"/>
              </w:rPr>
              <w:t>3,369</w:t>
            </w:r>
          </w:p>
        </w:tc>
      </w:tr>
      <w:tr>
        <w:tc>
          <w:tcPr>
            <w:tcW w:type="dxa" w:w="5472"/>
            <w:vAlign w:val="center"/>
          </w:tcPr>
          <w:p>
            <w:r>
              <w:rPr>
                <w:sz w:val="18"/>
              </w:rPr>
              <w:t>Raw future flags</w:t>
            </w:r>
          </w:p>
        </w:tc>
        <w:tc>
          <w:tcPr>
            <w:tcW w:type="dxa" w:w="4608"/>
            <w:vAlign w:val="center"/>
          </w:tcPr>
          <w:p>
            <w:r>
              <w:rPr>
                <w:sz w:val="18"/>
              </w:rPr>
              <w:t>64</w:t>
            </w:r>
          </w:p>
        </w:tc>
      </w:tr>
      <w:tr>
        <w:tc>
          <w:tcPr>
            <w:tcW w:type="dxa" w:w="5472"/>
            <w:vAlign w:val="center"/>
          </w:tcPr>
          <w:p>
            <w:r>
              <w:rPr>
                <w:sz w:val="18"/>
              </w:rPr>
              <w:t>Window 701 innovation</w:t>
            </w:r>
          </w:p>
        </w:tc>
        <w:tc>
          <w:tcPr>
            <w:tcW w:type="dxa" w:w="4608"/>
            <w:vAlign w:val="center"/>
          </w:tcPr>
          <w:p>
            <w:r>
              <w:rPr>
                <w:sz w:val="18"/>
              </w:rPr>
              <w:t>0.10841499 → flagged</w:t>
            </w:r>
          </w:p>
        </w:tc>
      </w:tr>
      <w:tr>
        <w:tc>
          <w:tcPr>
            <w:tcW w:type="dxa" w:w="5472"/>
            <w:vAlign w:val="center"/>
          </w:tcPr>
          <w:p>
            <w:r>
              <w:rPr>
                <w:sz w:val="18"/>
              </w:rPr>
              <w:t>Window 801 innovation</w:t>
            </w:r>
          </w:p>
        </w:tc>
        <w:tc>
          <w:tcPr>
            <w:tcW w:type="dxa" w:w="4608"/>
            <w:vAlign w:val="center"/>
          </w:tcPr>
          <w:p>
            <w:r>
              <w:rPr>
                <w:sz w:val="18"/>
              </w:rPr>
              <w:t>0.09731552 → flagged</w:t>
            </w:r>
          </w:p>
        </w:tc>
      </w:tr>
    </w:tbl>
    <w:p/>
    <w:p>
      <w:pPr>
        <w:pStyle w:val="ExecutiveCallout"/>
      </w:pPr>
      <w:r>
        <w:t>Strongest real-data result: QMS prospectively detected unexpected measurement-distribution evolution using only information available before each observation.</w:t>
      </w:r>
    </w:p>
    <w:p>
      <w:pPr>
        <w:pStyle w:val="Heading2"/>
      </w:pPr>
      <w:r>
        <w:t>4.10 Alert consolidation and robustness</w:t>
      </w:r>
    </w:p>
    <w:p>
      <w:r>
        <w:t>Overlapping windows produce repeated alerts. Using a refractory interval of one full measurement window consolidated 64 raw prospective flags into six macro-scale alert episodes.</w:t>
      </w:r>
    </w:p>
    <w:tbl>
      <w:tblPr>
        <w:tblStyle w:val="TableGrid"/>
        <w:tblW w:type="auto" w:w="0"/>
        <w:jc w:val="center"/>
        <w:tblLook w:firstColumn="1" w:firstRow="1" w:lastColumn="0" w:lastRow="0" w:noHBand="0" w:noVBand="1" w:val="04A0"/>
      </w:tblPr>
      <w:tblGrid>
        <w:gridCol w:w="5040"/>
        <w:gridCol w:w="5040"/>
      </w:tblGrid>
      <w:tr>
        <w:tc>
          <w:tcPr>
            <w:tcW w:type="dxa" w:w="3312"/>
            <w:shd w:fill="16324F"/>
            <w:vAlign w:val="center"/>
          </w:tcPr>
          <w:p>
            <w:r>
              <w:rPr>
                <w:b/>
                <w:color w:val="FFFFFF"/>
                <w:sz w:val="18"/>
              </w:rPr>
              <w:t>Episode peak</w:t>
            </w:r>
          </w:p>
        </w:tc>
        <w:tc>
          <w:tcPr>
            <w:tcW w:type="dxa" w:w="6768"/>
            <w:shd w:fill="16324F"/>
            <w:vAlign w:val="center"/>
          </w:tcPr>
          <w:p>
            <w:r>
              <w:rPr>
                <w:b/>
                <w:color w:val="FFFFFF"/>
                <w:sz w:val="18"/>
              </w:rPr>
              <w:t>Peak innovation / interpretation</w:t>
            </w:r>
          </w:p>
        </w:tc>
      </w:tr>
      <w:tr>
        <w:tc>
          <w:tcPr>
            <w:tcW w:type="dxa" w:w="3312"/>
            <w:vAlign w:val="center"/>
          </w:tcPr>
          <w:p>
            <w:r>
              <w:rPr>
                <w:sz w:val="18"/>
              </w:rPr>
              <w:t>951</w:t>
            </w:r>
          </w:p>
        </w:tc>
        <w:tc>
          <w:tcPr>
            <w:tcW w:type="dxa" w:w="6768"/>
            <w:vAlign w:val="center"/>
          </w:tcPr>
          <w:p>
            <w:r>
              <w:rPr>
                <w:sz w:val="18"/>
              </w:rPr>
              <w:t>stable macro alert peak</w:t>
            </w:r>
          </w:p>
        </w:tc>
      </w:tr>
      <w:tr>
        <w:tc>
          <w:tcPr>
            <w:tcW w:type="dxa" w:w="3312"/>
            <w:vAlign w:val="center"/>
          </w:tcPr>
          <w:p>
            <w:r>
              <w:rPr>
                <w:sz w:val="18"/>
              </w:rPr>
              <w:t>1598</w:t>
            </w:r>
          </w:p>
        </w:tc>
        <w:tc>
          <w:tcPr>
            <w:tcW w:type="dxa" w:w="6768"/>
            <w:vAlign w:val="center"/>
          </w:tcPr>
          <w:p>
            <w:r>
              <w:rPr>
                <w:sz w:val="18"/>
              </w:rPr>
              <w:t>stable macro alert peak</w:t>
            </w:r>
          </w:p>
        </w:tc>
      </w:tr>
      <w:tr>
        <w:tc>
          <w:tcPr>
            <w:tcW w:type="dxa" w:w="3312"/>
            <w:vAlign w:val="center"/>
          </w:tcPr>
          <w:p>
            <w:r>
              <w:rPr>
                <w:sz w:val="18"/>
              </w:rPr>
              <w:t>2316</w:t>
            </w:r>
          </w:p>
        </w:tc>
        <w:tc>
          <w:tcPr>
            <w:tcW w:type="dxa" w:w="6768"/>
            <w:vAlign w:val="center"/>
          </w:tcPr>
          <w:p>
            <w:r>
              <w:rPr>
                <w:sz w:val="18"/>
              </w:rPr>
              <w:t>strongest overall; innovation ≈ 0.16761</w:t>
            </w:r>
          </w:p>
        </w:tc>
      </w:tr>
      <w:tr>
        <w:tc>
          <w:tcPr>
            <w:tcW w:type="dxa" w:w="3312"/>
            <w:vAlign w:val="center"/>
          </w:tcPr>
          <w:p>
            <w:r>
              <w:rPr>
                <w:sz w:val="18"/>
              </w:rPr>
              <w:t>2761</w:t>
            </w:r>
          </w:p>
        </w:tc>
        <w:tc>
          <w:tcPr>
            <w:tcW w:type="dxa" w:w="6768"/>
            <w:vAlign w:val="center"/>
          </w:tcPr>
          <w:p>
            <w:r>
              <w:rPr>
                <w:sz w:val="18"/>
              </w:rPr>
              <w:t>stable macro alert peak</w:t>
            </w:r>
          </w:p>
        </w:tc>
      </w:tr>
      <w:tr>
        <w:tc>
          <w:tcPr>
            <w:tcW w:type="dxa" w:w="3312"/>
            <w:vAlign w:val="center"/>
          </w:tcPr>
          <w:p>
            <w:r>
              <w:rPr>
                <w:sz w:val="18"/>
              </w:rPr>
              <w:t>3458</w:t>
            </w:r>
          </w:p>
        </w:tc>
        <w:tc>
          <w:tcPr>
            <w:tcW w:type="dxa" w:w="6768"/>
            <w:vAlign w:val="center"/>
          </w:tcPr>
          <w:p>
            <w:r>
              <w:rPr>
                <w:sz w:val="18"/>
              </w:rPr>
              <w:t>stable macro alert peak</w:t>
            </w:r>
          </w:p>
        </w:tc>
      </w:tr>
      <w:tr>
        <w:tc>
          <w:tcPr>
            <w:tcW w:type="dxa" w:w="3312"/>
            <w:vAlign w:val="center"/>
          </w:tcPr>
          <w:p>
            <w:r>
              <w:rPr>
                <w:sz w:val="18"/>
              </w:rPr>
              <w:t>3875</w:t>
            </w:r>
          </w:p>
        </w:tc>
        <w:tc>
          <w:tcPr>
            <w:tcW w:type="dxa" w:w="6768"/>
            <w:vAlign w:val="center"/>
          </w:tcPr>
          <w:p>
            <w:r>
              <w:rPr>
                <w:sz w:val="18"/>
              </w:rPr>
              <w:t>stable macro alert peak</w:t>
            </w:r>
          </w:p>
        </w:tc>
      </w:tr>
    </w:tbl>
    <w:p/>
    <w:p>
      <w:r>
        <w:t>Refractory robustness showed that at 100 and 150 increments the same six peaks were recovered. Causal-baseline robustness then varied reference ends 199/299/399 and calibration ends 599/699 across six configurations.</w:t>
      </w:r>
    </w:p>
    <w:tbl>
      <w:tblPr>
        <w:tblStyle w:val="TableGrid"/>
        <w:tblW w:type="auto" w:w="0"/>
        <w:jc w:val="center"/>
        <w:tblLook w:firstColumn="1" w:firstRow="1" w:lastColumn="0" w:lastRow="0" w:noHBand="0" w:noVBand="1" w:val="04A0"/>
      </w:tblPr>
      <w:tblGrid>
        <w:gridCol w:w="5040"/>
        <w:gridCol w:w="5040"/>
      </w:tblGrid>
      <w:tr>
        <w:tc>
          <w:tcPr>
            <w:tcW w:type="dxa" w:w="4608"/>
            <w:shd w:fill="16324F"/>
            <w:vAlign w:val="center"/>
          </w:tcPr>
          <w:p>
            <w:r>
              <w:rPr>
                <w:b/>
                <w:color w:val="FFFFFF"/>
                <w:sz w:val="18"/>
              </w:rPr>
              <w:t>Recurring peak</w:t>
            </w:r>
          </w:p>
        </w:tc>
        <w:tc>
          <w:tcPr>
            <w:tcW w:type="dxa" w:w="5472"/>
            <w:shd w:fill="16324F"/>
            <w:vAlign w:val="center"/>
          </w:tcPr>
          <w:p>
            <w:r>
              <w:rPr>
                <w:b/>
                <w:color w:val="FFFFFF"/>
                <w:sz w:val="18"/>
              </w:rPr>
              <w:t>Causal-baseline recurrence</w:t>
            </w:r>
          </w:p>
        </w:tc>
      </w:tr>
      <w:tr>
        <w:tc>
          <w:tcPr>
            <w:tcW w:type="dxa" w:w="4608"/>
            <w:vAlign w:val="center"/>
          </w:tcPr>
          <w:p>
            <w:r>
              <w:rPr>
                <w:sz w:val="18"/>
              </w:rPr>
              <w:t>951</w:t>
            </w:r>
          </w:p>
        </w:tc>
        <w:tc>
          <w:tcPr>
            <w:tcW w:type="dxa" w:w="5472"/>
            <w:vAlign w:val="center"/>
          </w:tcPr>
          <w:p>
            <w:r>
              <w:rPr>
                <w:sz w:val="18"/>
              </w:rPr>
              <w:t>6/6 (100%)</w:t>
            </w:r>
          </w:p>
        </w:tc>
      </w:tr>
      <w:tr>
        <w:tc>
          <w:tcPr>
            <w:tcW w:type="dxa" w:w="4608"/>
            <w:vAlign w:val="center"/>
          </w:tcPr>
          <w:p>
            <w:r>
              <w:rPr>
                <w:sz w:val="18"/>
              </w:rPr>
              <w:t>1598</w:t>
            </w:r>
          </w:p>
        </w:tc>
        <w:tc>
          <w:tcPr>
            <w:tcW w:type="dxa" w:w="5472"/>
            <w:vAlign w:val="center"/>
          </w:tcPr>
          <w:p>
            <w:r>
              <w:rPr>
                <w:sz w:val="18"/>
              </w:rPr>
              <w:t>6/6 (100%)</w:t>
            </w:r>
          </w:p>
        </w:tc>
      </w:tr>
      <w:tr>
        <w:tc>
          <w:tcPr>
            <w:tcW w:type="dxa" w:w="4608"/>
            <w:vAlign w:val="center"/>
          </w:tcPr>
          <w:p>
            <w:r>
              <w:rPr>
                <w:sz w:val="18"/>
              </w:rPr>
              <w:t>2316</w:t>
            </w:r>
          </w:p>
        </w:tc>
        <w:tc>
          <w:tcPr>
            <w:tcW w:type="dxa" w:w="5472"/>
            <w:vAlign w:val="center"/>
          </w:tcPr>
          <w:p>
            <w:r>
              <w:rPr>
                <w:sz w:val="18"/>
              </w:rPr>
              <w:t>6/6 (100%)</w:t>
            </w:r>
          </w:p>
        </w:tc>
      </w:tr>
      <w:tr>
        <w:tc>
          <w:tcPr>
            <w:tcW w:type="dxa" w:w="4608"/>
            <w:vAlign w:val="center"/>
          </w:tcPr>
          <w:p>
            <w:r>
              <w:rPr>
                <w:sz w:val="18"/>
              </w:rPr>
              <w:t>2761</w:t>
            </w:r>
          </w:p>
        </w:tc>
        <w:tc>
          <w:tcPr>
            <w:tcW w:type="dxa" w:w="5472"/>
            <w:vAlign w:val="center"/>
          </w:tcPr>
          <w:p>
            <w:r>
              <w:rPr>
                <w:sz w:val="18"/>
              </w:rPr>
              <w:t>6/6 (100%)</w:t>
            </w:r>
          </w:p>
        </w:tc>
      </w:tr>
      <w:tr>
        <w:tc>
          <w:tcPr>
            <w:tcW w:type="dxa" w:w="4608"/>
            <w:vAlign w:val="center"/>
          </w:tcPr>
          <w:p>
            <w:r>
              <w:rPr>
                <w:sz w:val="18"/>
              </w:rPr>
              <w:t>3458</w:t>
            </w:r>
          </w:p>
        </w:tc>
        <w:tc>
          <w:tcPr>
            <w:tcW w:type="dxa" w:w="5472"/>
            <w:vAlign w:val="center"/>
          </w:tcPr>
          <w:p>
            <w:r>
              <w:rPr>
                <w:sz w:val="18"/>
              </w:rPr>
              <w:t>6/6 (100%)</w:t>
            </w:r>
          </w:p>
        </w:tc>
      </w:tr>
      <w:tr>
        <w:tc>
          <w:tcPr>
            <w:tcW w:type="dxa" w:w="4608"/>
            <w:vAlign w:val="center"/>
          </w:tcPr>
          <w:p>
            <w:r>
              <w:rPr>
                <w:sz w:val="18"/>
              </w:rPr>
              <w:t>3875</w:t>
            </w:r>
          </w:p>
        </w:tc>
        <w:tc>
          <w:tcPr>
            <w:tcW w:type="dxa" w:w="5472"/>
            <w:vAlign w:val="center"/>
          </w:tcPr>
          <w:p>
            <w:r>
              <w:rPr>
                <w:sz w:val="18"/>
              </w:rPr>
              <w:t>6/6 (100%)</w:t>
            </w:r>
          </w:p>
        </w:tc>
      </w:tr>
      <w:tr>
        <w:tc>
          <w:tcPr>
            <w:tcW w:type="dxa" w:w="4608"/>
            <w:vAlign w:val="center"/>
          </w:tcPr>
          <w:p>
            <w:r>
              <w:rPr>
                <w:sz w:val="18"/>
              </w:rPr>
              <w:t>2993</w:t>
            </w:r>
          </w:p>
        </w:tc>
        <w:tc>
          <w:tcPr>
            <w:tcW w:type="dxa" w:w="5472"/>
            <w:vAlign w:val="center"/>
          </w:tcPr>
          <w:p>
            <w:r>
              <w:rPr>
                <w:sz w:val="18"/>
              </w:rPr>
              <w:t>5/6 (83.3%)</w:t>
            </w:r>
          </w:p>
        </w:tc>
      </w:tr>
    </w:tbl>
    <w:p/>
    <w:p>
      <w:r>
        <w:t>The exact number of episodes varied with baseline and grouping choices, so the correct claim is not that six physical events occurred. Rather, six dominant prospective measurement-state alert regions were robust across all tested causal-baseline settings.</w:t>
      </w:r>
    </w:p>
    <w:p>
      <w:pPr>
        <w:pStyle w:val="Heading1"/>
      </w:pPr>
      <w:r>
        <w:t>5. What QMS Adds to Pyxel</w:t>
      </w:r>
    </w:p>
    <w:p>
      <w:r>
        <w:t>The value proposition is not a replacement for Pyxel's detector-physics models. QMS adds an assurance, observability, inference, prediction and adaptation layer around them.</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6324F"/>
            <w:vAlign w:val="center"/>
          </w:tcPr>
          <w:p>
            <w:r>
              <w:rPr>
                <w:b/>
                <w:color w:val="FFFFFF"/>
                <w:sz w:val="18"/>
              </w:rPr>
              <w:t>Capability</w:t>
            </w:r>
          </w:p>
        </w:tc>
        <w:tc>
          <w:tcPr>
            <w:tcW w:type="dxa" w:w="2448"/>
            <w:shd w:fill="16324F"/>
            <w:vAlign w:val="center"/>
          </w:tcPr>
          <w:p>
            <w:r>
              <w:rPr>
                <w:b/>
                <w:color w:val="FFFFFF"/>
                <w:sz w:val="18"/>
              </w:rPr>
              <w:t>Pyxel role</w:t>
            </w:r>
          </w:p>
        </w:tc>
        <w:tc>
          <w:tcPr>
            <w:tcW w:type="dxa" w:w="5328"/>
            <w:shd w:fill="16324F"/>
            <w:vAlign w:val="center"/>
          </w:tcPr>
          <w:p>
            <w:r>
              <w:rPr>
                <w:b/>
                <w:color w:val="FFFFFF"/>
                <w:sz w:val="18"/>
              </w:rPr>
              <w:t>QMS value-add</w:t>
            </w:r>
          </w:p>
        </w:tc>
      </w:tr>
      <w:tr>
        <w:tc>
          <w:tcPr>
            <w:tcW w:type="dxa" w:w="2592"/>
            <w:vAlign w:val="center"/>
          </w:tcPr>
          <w:p>
            <w:r>
              <w:rPr>
                <w:sz w:val="18"/>
              </w:rPr>
              <w:t>Detector physics simulation</w:t>
            </w:r>
          </w:p>
        </w:tc>
        <w:tc>
          <w:tcPr>
            <w:tcW w:type="dxa" w:w="2448"/>
            <w:vAlign w:val="center"/>
          </w:tcPr>
          <w:p>
            <w:r>
              <w:rPr>
                <w:sz w:val="18"/>
              </w:rPr>
              <w:t>Core strength</w:t>
            </w:r>
          </w:p>
        </w:tc>
        <w:tc>
          <w:tcPr>
            <w:tcW w:type="dxa" w:w="5328"/>
            <w:vAlign w:val="center"/>
          </w:tcPr>
          <w:p>
            <w:r>
              <w:rPr>
                <w:sz w:val="18"/>
              </w:rPr>
              <w:t>Not the differentiation.</w:t>
            </w:r>
          </w:p>
        </w:tc>
      </w:tr>
      <w:tr>
        <w:tc>
          <w:tcPr>
            <w:tcW w:type="dxa" w:w="2592"/>
            <w:vAlign w:val="center"/>
          </w:tcPr>
          <w:p>
            <w:r>
              <w:rPr>
                <w:sz w:val="18"/>
              </w:rPr>
              <w:t>Effect model library</w:t>
            </w:r>
          </w:p>
        </w:tc>
        <w:tc>
          <w:tcPr>
            <w:tcW w:type="dxa" w:w="2448"/>
            <w:vAlign w:val="center"/>
          </w:tcPr>
          <w:p>
            <w:r>
              <w:rPr>
                <w:sz w:val="18"/>
              </w:rPr>
              <w:t>Core strength</w:t>
            </w:r>
          </w:p>
        </w:tc>
        <w:tc>
          <w:tcPr>
            <w:tcW w:type="dxa" w:w="5328"/>
            <w:vAlign w:val="center"/>
          </w:tcPr>
          <w:p>
            <w:r>
              <w:rPr>
                <w:sz w:val="18"/>
              </w:rPr>
              <w:t>Not the differentiation.</w:t>
            </w:r>
          </w:p>
        </w:tc>
      </w:tr>
      <w:tr>
        <w:tc>
          <w:tcPr>
            <w:tcW w:type="dxa" w:w="2592"/>
            <w:vAlign w:val="center"/>
          </w:tcPr>
          <w:p>
            <w:r>
              <w:rPr>
                <w:sz w:val="18"/>
              </w:rPr>
              <w:t>Parameter calibration/optimization</w:t>
            </w:r>
          </w:p>
        </w:tc>
        <w:tc>
          <w:tcPr>
            <w:tcW w:type="dxa" w:w="2448"/>
            <w:vAlign w:val="center"/>
          </w:tcPr>
          <w:p>
            <w:r>
              <w:rPr>
                <w:sz w:val="18"/>
              </w:rPr>
              <w:t>Existing capability</w:t>
            </w:r>
          </w:p>
        </w:tc>
        <w:tc>
          <w:tcPr>
            <w:tcW w:type="dxa" w:w="5328"/>
            <w:vAlign w:val="center"/>
          </w:tcPr>
          <w:p>
            <w:r>
              <w:rPr>
                <w:sz w:val="18"/>
              </w:rPr>
              <w:t>QMS can integrate parameter recovery into stage-aware twin logic.</w:t>
            </w:r>
          </w:p>
        </w:tc>
      </w:tr>
      <w:tr>
        <w:tc>
          <w:tcPr>
            <w:tcW w:type="dxa" w:w="2592"/>
            <w:vAlign w:val="center"/>
          </w:tcPr>
          <w:p>
            <w:r>
              <w:rPr>
                <w:sz w:val="18"/>
              </w:rPr>
              <w:t>Pipeline-stage observability</w:t>
            </w:r>
          </w:p>
        </w:tc>
        <w:tc>
          <w:tcPr>
            <w:tcW w:type="dxa" w:w="2448"/>
            <w:vAlign w:val="center"/>
          </w:tcPr>
          <w:p>
            <w:r>
              <w:rPr>
                <w:sz w:val="18"/>
              </w:rPr>
              <w:t>Not primary purpose</w:t>
            </w:r>
          </w:p>
        </w:tc>
        <w:tc>
          <w:tcPr>
            <w:tcW w:type="dxa" w:w="5328"/>
            <w:vAlign w:val="center"/>
          </w:tcPr>
          <w:p>
            <w:r>
              <w:rPr>
                <w:sz w:val="18"/>
              </w:rPr>
              <w:t>Determine where an effect first becomes measurable.</w:t>
            </w:r>
          </w:p>
        </w:tc>
      </w:tr>
      <w:tr>
        <w:tc>
          <w:tcPr>
            <w:tcW w:type="dxa" w:w="2592"/>
            <w:vAlign w:val="center"/>
          </w:tcPr>
          <w:p>
            <w:r>
              <w:rPr>
                <w:sz w:val="18"/>
              </w:rPr>
              <w:t>Representation-loss diagnostics</w:t>
            </w:r>
          </w:p>
        </w:tc>
        <w:tc>
          <w:tcPr>
            <w:tcW w:type="dxa" w:w="2448"/>
            <w:vAlign w:val="center"/>
          </w:tcPr>
          <w:p>
            <w:r>
              <w:rPr>
                <w:sz w:val="18"/>
              </w:rPr>
              <w:t>Not primary purpose</w:t>
            </w:r>
          </w:p>
        </w:tc>
        <w:tc>
          <w:tcPr>
            <w:tcW w:type="dxa" w:w="5328"/>
            <w:vAlign w:val="center"/>
          </w:tcPr>
          <w:p>
            <w:r>
              <w:rPr>
                <w:sz w:val="18"/>
              </w:rPr>
              <w:t>Detect when downstream transformations erase useful diagnostic information.</w:t>
            </w:r>
          </w:p>
        </w:tc>
      </w:tr>
      <w:tr>
        <w:tc>
          <w:tcPr>
            <w:tcW w:type="dxa" w:w="2592"/>
            <w:vAlign w:val="center"/>
          </w:tcPr>
          <w:p>
            <w:r>
              <w:rPr>
                <w:sz w:val="18"/>
              </w:rPr>
              <w:t>Model–measurement residual reasoning</w:t>
            </w:r>
          </w:p>
        </w:tc>
        <w:tc>
          <w:tcPr>
            <w:tcW w:type="dxa" w:w="2448"/>
            <w:vAlign w:val="center"/>
          </w:tcPr>
          <w:p>
            <w:r>
              <w:rPr>
                <w:sz w:val="18"/>
              </w:rPr>
              <w:t>Can be constructed</w:t>
            </w:r>
          </w:p>
        </w:tc>
        <w:tc>
          <w:tcPr>
            <w:tcW w:type="dxa" w:w="5328"/>
            <w:vAlign w:val="center"/>
          </w:tcPr>
          <w:p>
            <w:r>
              <w:rPr>
                <w:sz w:val="18"/>
              </w:rPr>
              <w:t>Explicit residual and consistency framework.</w:t>
            </w:r>
          </w:p>
        </w:tc>
      </w:tr>
      <w:tr>
        <w:tc>
          <w:tcPr>
            <w:tcW w:type="dxa" w:w="2592"/>
            <w:vAlign w:val="center"/>
          </w:tcPr>
          <w:p>
            <w:r>
              <w:rPr>
                <w:sz w:val="18"/>
              </w:rPr>
              <w:t>Mechanism localization by stage</w:t>
            </w:r>
          </w:p>
        </w:tc>
        <w:tc>
          <w:tcPr>
            <w:tcW w:type="dxa" w:w="2448"/>
            <w:vAlign w:val="center"/>
          </w:tcPr>
          <w:p>
            <w:r>
              <w:rPr>
                <w:sz w:val="18"/>
              </w:rPr>
              <w:t>Not core</w:t>
            </w:r>
          </w:p>
        </w:tc>
        <w:tc>
          <w:tcPr>
            <w:tcW w:type="dxa" w:w="5328"/>
            <w:vAlign w:val="center"/>
          </w:tcPr>
          <w:p>
            <w:r>
              <w:rPr>
                <w:sz w:val="18"/>
              </w:rPr>
              <w:t>Use first divergent representation and signature to narrow mechanism families.</w:t>
            </w:r>
          </w:p>
        </w:tc>
      </w:tr>
      <w:tr>
        <w:tc>
          <w:tcPr>
            <w:tcW w:type="dxa" w:w="2592"/>
            <w:vAlign w:val="center"/>
          </w:tcPr>
          <w:p>
            <w:r>
              <w:rPr>
                <w:sz w:val="18"/>
              </w:rPr>
              <w:t>Predictive detector state</w:t>
            </w:r>
          </w:p>
        </w:tc>
        <w:tc>
          <w:tcPr>
            <w:tcW w:type="dxa" w:w="2448"/>
            <w:vAlign w:val="center"/>
          </w:tcPr>
          <w:p>
            <w:r>
              <w:rPr>
                <w:sz w:val="18"/>
              </w:rPr>
              <w:t>Not core</w:t>
            </w:r>
          </w:p>
        </w:tc>
        <w:tc>
          <w:tcPr>
            <w:tcW w:type="dxa" w:w="5328"/>
            <w:vAlign w:val="center"/>
          </w:tcPr>
          <w:p>
            <w:r>
              <w:rPr>
                <w:sz w:val="18"/>
              </w:rPr>
              <w:t>Maintain state, predict next observation/state, compute innovation.</w:t>
            </w:r>
          </w:p>
        </w:tc>
      </w:tr>
      <w:tr>
        <w:tc>
          <w:tcPr>
            <w:tcW w:type="dxa" w:w="2592"/>
            <w:vAlign w:val="center"/>
          </w:tcPr>
          <w:p>
            <w:r>
              <w:rPr>
                <w:sz w:val="18"/>
              </w:rPr>
              <w:t>Selective adaptive recalibration</w:t>
            </w:r>
          </w:p>
        </w:tc>
        <w:tc>
          <w:tcPr>
            <w:tcW w:type="dxa" w:w="2448"/>
            <w:vAlign w:val="center"/>
          </w:tcPr>
          <w:p>
            <w:r>
              <w:rPr>
                <w:sz w:val="18"/>
              </w:rPr>
              <w:t>Not core</w:t>
            </w:r>
          </w:p>
        </w:tc>
        <w:tc>
          <w:tcPr>
            <w:tcW w:type="dxa" w:w="5328"/>
            <w:vAlign w:val="center"/>
          </w:tcPr>
          <w:p>
            <w:r>
              <w:rPr>
                <w:sz w:val="18"/>
              </w:rPr>
              <w:t>Trigger expensive re-estimation only when evidence indicates divergence.</w:t>
            </w:r>
          </w:p>
        </w:tc>
      </w:tr>
      <w:tr>
        <w:tc>
          <w:tcPr>
            <w:tcW w:type="dxa" w:w="2592"/>
            <w:vAlign w:val="center"/>
          </w:tcPr>
          <w:p>
            <w:r>
              <w:rPr>
                <w:sz w:val="18"/>
              </w:rPr>
              <w:t>External streaming twin</w:t>
            </w:r>
          </w:p>
        </w:tc>
        <w:tc>
          <w:tcPr>
            <w:tcW w:type="dxa" w:w="2448"/>
            <w:vAlign w:val="center"/>
          </w:tcPr>
          <w:p>
            <w:r>
              <w:rPr>
                <w:sz w:val="18"/>
              </w:rPr>
              <w:t>Not core</w:t>
            </w:r>
          </w:p>
        </w:tc>
        <w:tc>
          <w:tcPr>
            <w:tcW w:type="dxa" w:w="5328"/>
            <w:vAlign w:val="center"/>
          </w:tcPr>
          <w:p>
            <w:r>
              <w:rPr>
                <w:sz w:val="18"/>
              </w:rPr>
              <w:t>Separate experimental detector input from the Pyxel model side.</w:t>
            </w:r>
          </w:p>
        </w:tc>
      </w:tr>
      <w:tr>
        <w:tc>
          <w:tcPr>
            <w:tcW w:type="dxa" w:w="2592"/>
            <w:vAlign w:val="center"/>
          </w:tcPr>
          <w:p>
            <w:r>
              <w:rPr>
                <w:sz w:val="18"/>
              </w:rPr>
              <w:t>Real-data surprise monitoring</w:t>
            </w:r>
          </w:p>
        </w:tc>
        <w:tc>
          <w:tcPr>
            <w:tcW w:type="dxa" w:w="2448"/>
            <w:vAlign w:val="center"/>
          </w:tcPr>
          <w:p>
            <w:r>
              <w:rPr>
                <w:sz w:val="18"/>
              </w:rPr>
              <w:t>Not core</w:t>
            </w:r>
          </w:p>
        </w:tc>
        <w:tc>
          <w:tcPr>
            <w:tcW w:type="dxa" w:w="5328"/>
            <w:vAlign w:val="center"/>
          </w:tcPr>
          <w:p>
            <w:r>
              <w:rPr>
                <w:sz w:val="18"/>
              </w:rPr>
              <w:t>Causal prospective measurement-state monitoring without forcing unsupported physical labels.</w:t>
            </w:r>
          </w:p>
        </w:tc>
      </w:tr>
    </w:tbl>
    <w:p/>
    <w:p>
      <w:pPr>
        <w:pStyle w:val="Heading2"/>
      </w:pPr>
      <w:r>
        <w:t>5.1 Proposed integrated architecture</w:t>
      </w:r>
    </w:p>
    <w:p>
      <w:pPr>
        <w:pStyle w:val="SmallNote"/>
      </w:pPr>
      <w:r>
        <w:t>Physical detector / experimental stream</w:t>
        <w:br/>
        <w:t xml:space="preserve">        ↓</w:t>
        <w:br/>
        <w:t>Measurement observation</w:t>
        <w:br/>
        <w:t xml:space="preserve">        ↓</w:t>
        <w:br/>
        <w:t>QMS: observability → residuals → inference → prediction → innovation → adaptation</w:t>
        <w:br/>
        <w:t xml:space="preserve">        &lt;-&gt; compare / update</w:t>
        <w:br/>
        <w:t>Pyxel: detector forward model</w:t>
      </w:r>
    </w:p>
    <w:p>
      <w:pPr>
        <w:jc w:val="center"/>
      </w:pPr>
      <w:r>
        <w:rPr>
          <w:rFonts w:ascii="Cambria Math" w:hAnsi="Cambria Math"/>
          <w:i/>
          <w:sz w:val="22"/>
        </w:rPr>
        <w:t>y_hat(t) = Pyxel(theta_hat(t), u(t));   residual r(t) = y(t) − y_hat(t)</w:t>
      </w:r>
    </w:p>
    <w:p>
      <w:r>
        <w:t>A practical Pyxel-facing feature could be: given a configured Pyxel pipeline and detector observations, report which model parameters are identifiable from the available representations, where the model first diverges from observation, and which parameter/model family should be reconsidered or recalibrated.</w:t>
      </w:r>
    </w:p>
    <w:p>
      <w:pPr>
        <w:pStyle w:val="Heading1"/>
      </w:pPr>
      <w:r>
        <w:t>6. What Has Been Achieved</w:t>
      </w:r>
    </w:p>
    <w:p>
      <w:pPr>
        <w:pStyle w:val="ListBullet"/>
      </w:pPr>
      <w:r>
        <w:t>QMS diagnostics operate on actual Pyxel simulator outputs rather than only custom simulation code.</w:t>
      </w:r>
    </w:p>
    <w:p>
      <w:pPr>
        <w:pStyle w:val="ListBullet"/>
      </w:pPr>
      <w:r>
        <w:t>Controlled CTI and output-node-noise mechanisms were separated through pipeline-stage observability.</w:t>
      </w:r>
    </w:p>
    <w:p>
      <w:pPr>
        <w:pStyle w:val="ListBullet"/>
      </w:pPr>
      <w:r>
        <w:t>Known-family CTI parameters were recovered by inverse fitting and used to reconverge the model.</w:t>
      </w:r>
    </w:p>
    <w:p>
      <w:pPr>
        <w:pStyle w:val="ListBullet"/>
      </w:pPr>
      <w:r>
        <w:t>Multi-mechanism mixed observations were decomposed hierarchically.</w:t>
      </w:r>
    </w:p>
    <w:p>
      <w:pPr>
        <w:pStyle w:val="ListBullet"/>
      </w:pPr>
      <w:r>
        <w:t>The downstream noise inverse was calibrated from 11 Pyxel conditions, reducing mean error from 11.394% to 0.135%.</w:t>
      </w:r>
    </w:p>
    <w:p>
      <w:pPr>
        <w:pStyle w:val="ListBullet"/>
      </w:pPr>
      <w:r>
        <w:t>The detector twin evolved from snapshot to time-indexed, predictive, innovation-gated, adaptive and streaming operation.</w:t>
      </w:r>
    </w:p>
    <w:p>
      <w:pPr>
        <w:pStyle w:val="ListBullet"/>
      </w:pPr>
      <w:r>
        <w:t>An external observation interface decoupled measurement ingestion from the Pyxel model source.</w:t>
      </w:r>
    </w:p>
    <w:p>
      <w:pPr>
        <w:pStyle w:val="ListBullet"/>
      </w:pPr>
      <w:r>
        <w:t>Real Glasgow detector data was processed through a causal measurement-state twin.</w:t>
      </w:r>
    </w:p>
    <w:p>
      <w:pPr>
        <w:pStyle w:val="ListBullet"/>
      </w:pPr>
      <w:r>
        <w:t>Future-reference leakage was identified and removed.</w:t>
      </w:r>
    </w:p>
    <w:p>
      <w:pPr>
        <w:pStyle w:val="ListBullet"/>
      </w:pPr>
      <w:r>
        <w:t>Prospective measurement-state alerts were generated from a frozen causal baseline.</w:t>
      </w:r>
    </w:p>
    <w:p>
      <w:pPr>
        <w:pStyle w:val="ListBullet"/>
      </w:pPr>
      <w:r>
        <w:t>Six dominant alert regions recurred in every tested causal reference/calibration configuration.</w:t>
      </w:r>
    </w:p>
    <w:p>
      <w:pPr>
        <w:pStyle w:val="Heading1"/>
      </w:pPr>
      <w:r>
        <w:t>7. Scientific Boundaries</w:t>
      </w:r>
    </w:p>
    <w:p>
      <w:r>
        <w:t>The current evidence does not establish:</w:t>
      </w:r>
    </w:p>
    <w:p>
      <w:pPr>
        <w:pStyle w:val="ListBullet"/>
      </w:pPr>
      <w:r>
        <w:t>calibrated CTI inference on a real detector;</w:t>
      </w:r>
    </w:p>
    <w:p>
      <w:pPr>
        <w:pStyle w:val="ListBullet"/>
      </w:pPr>
      <w:r>
        <w:t>calibrated real-detector read-noise inference;</w:t>
      </w:r>
    </w:p>
    <w:p>
      <w:pPr>
        <w:pStyle w:val="ListBullet"/>
      </w:pPr>
      <w:r>
        <w:t>detector health scoring or failure prediction;</w:t>
      </w:r>
    </w:p>
    <w:p>
      <w:pPr>
        <w:pStyle w:val="ListBullet"/>
      </w:pPr>
      <w:r>
        <w:t>radiation-damage diagnosis;</w:t>
      </w:r>
    </w:p>
    <w:p>
      <w:pPr>
        <w:pStyle w:val="ListBullet"/>
      </w:pPr>
      <w:r>
        <w:t>physical cause identification for Glasgow alert regions;</w:t>
      </w:r>
    </w:p>
    <w:p>
      <w:pPr>
        <w:pStyle w:val="ListBullet"/>
      </w:pPr>
      <w:r>
        <w:t>hardware-in-the-loop operation;</w:t>
      </w:r>
    </w:p>
    <w:p>
      <w:pPr>
        <w:pStyle w:val="ListBullet"/>
      </w:pPr>
      <w:r>
        <w:t>ESA detector validation;</w:t>
      </w:r>
    </w:p>
    <w:p>
      <w:pPr>
        <w:pStyle w:val="ListBullet"/>
      </w:pPr>
      <w:r>
        <w:t>universal anomaly thresholds;</w:t>
      </w:r>
    </w:p>
    <w:p>
      <w:pPr>
        <w:pStyle w:val="ListBullet"/>
      </w:pPr>
      <w:r>
        <w:t>arbitrary unknown mechanism inference;</w:t>
      </w:r>
    </w:p>
    <w:p>
      <w:pPr>
        <w:pStyle w:val="ListBullet"/>
      </w:pPr>
      <w:r>
        <w:t>experimentally validated causal physical degradation detection;</w:t>
      </w:r>
    </w:p>
    <w:p>
      <w:pPr>
        <w:pStyle w:val="ListBullet"/>
      </w:pPr>
      <w:r>
        <w:t>quantum-field reconstruction or quantum-field dynamics.</w:t>
      </w:r>
    </w:p>
    <w:p>
      <w:pPr>
        <w:pStyle w:val="Heading1"/>
      </w:pPr>
      <w:r>
        <w:t>8. Current Maturity</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6324F"/>
            <w:vAlign w:val="center"/>
          </w:tcPr>
          <w:p>
            <w:r>
              <w:rPr>
                <w:b/>
                <w:color w:val="FFFFFF"/>
                <w:sz w:val="18"/>
              </w:rPr>
              <w:t>Level</w:t>
            </w:r>
          </w:p>
        </w:tc>
        <w:tc>
          <w:tcPr>
            <w:tcW w:type="dxa" w:w="4608"/>
            <w:shd w:fill="16324F"/>
            <w:vAlign w:val="center"/>
          </w:tcPr>
          <w:p>
            <w:r>
              <w:rPr>
                <w:b/>
                <w:color w:val="FFFFFF"/>
                <w:sz w:val="18"/>
              </w:rPr>
              <w:t>Capability</w:t>
            </w:r>
          </w:p>
        </w:tc>
        <w:tc>
          <w:tcPr>
            <w:tcW w:type="dxa" w:w="4752"/>
            <w:shd w:fill="16324F"/>
            <w:vAlign w:val="center"/>
          </w:tcPr>
          <w:p>
            <w:r>
              <w:rPr>
                <w:b/>
                <w:color w:val="FFFFFF"/>
                <w:sz w:val="18"/>
              </w:rPr>
              <w:t>Status</w:t>
            </w:r>
          </w:p>
        </w:tc>
      </w:tr>
      <w:tr>
        <w:tc>
          <w:tcPr>
            <w:tcW w:type="dxa" w:w="1008"/>
            <w:vAlign w:val="center"/>
          </w:tcPr>
          <w:p>
            <w:r>
              <w:rPr>
                <w:sz w:val="18"/>
              </w:rPr>
              <w:t>1</w:t>
            </w:r>
          </w:p>
        </w:tc>
        <w:tc>
          <w:tcPr>
            <w:tcW w:type="dxa" w:w="4608"/>
            <w:vAlign w:val="center"/>
          </w:tcPr>
          <w:p>
            <w:r>
              <w:rPr>
                <w:sz w:val="18"/>
              </w:rPr>
              <w:t>Measurement model</w:t>
            </w:r>
          </w:p>
        </w:tc>
        <w:tc>
          <w:tcPr>
            <w:tcW w:type="dxa" w:w="4752"/>
            <w:vAlign w:val="center"/>
          </w:tcPr>
          <w:p>
            <w:r>
              <w:rPr>
                <w:sz w:val="18"/>
              </w:rPr>
              <w:t>Completed</w:t>
            </w:r>
          </w:p>
        </w:tc>
      </w:tr>
      <w:tr>
        <w:tc>
          <w:tcPr>
            <w:tcW w:type="dxa" w:w="1008"/>
            <w:vAlign w:val="center"/>
          </w:tcPr>
          <w:p>
            <w:r>
              <w:rPr>
                <w:sz w:val="18"/>
              </w:rPr>
              <w:t>2</w:t>
            </w:r>
          </w:p>
        </w:tc>
        <w:tc>
          <w:tcPr>
            <w:tcW w:type="dxa" w:w="4608"/>
            <w:vAlign w:val="center"/>
          </w:tcPr>
          <w:p>
            <w:r>
              <w:rPr>
                <w:sz w:val="18"/>
              </w:rPr>
              <w:t>Observability / reconstruction assurance</w:t>
            </w:r>
          </w:p>
        </w:tc>
        <w:tc>
          <w:tcPr>
            <w:tcW w:type="dxa" w:w="4752"/>
            <w:vAlign w:val="center"/>
          </w:tcPr>
          <w:p>
            <w:r>
              <w:rPr>
                <w:sz w:val="18"/>
              </w:rPr>
              <w:t>Completed computationally; supported by prior QMS work</w:t>
            </w:r>
          </w:p>
        </w:tc>
      </w:tr>
      <w:tr>
        <w:tc>
          <w:tcPr>
            <w:tcW w:type="dxa" w:w="1008"/>
            <w:vAlign w:val="center"/>
          </w:tcPr>
          <w:p>
            <w:r>
              <w:rPr>
                <w:sz w:val="18"/>
              </w:rPr>
              <w:t>3</w:t>
            </w:r>
          </w:p>
        </w:tc>
        <w:tc>
          <w:tcPr>
            <w:tcW w:type="dxa" w:w="4608"/>
            <w:vAlign w:val="center"/>
          </w:tcPr>
          <w:p>
            <w:r>
              <w:rPr>
                <w:sz w:val="18"/>
              </w:rPr>
              <w:t>State estimation</w:t>
            </w:r>
          </w:p>
        </w:tc>
        <w:tc>
          <w:tcPr>
            <w:tcW w:type="dxa" w:w="4752"/>
            <w:vAlign w:val="center"/>
          </w:tcPr>
          <w:p>
            <w:r>
              <w:rPr>
                <w:sz w:val="18"/>
              </w:rPr>
              <w:t>Completed computationally</w:t>
            </w:r>
          </w:p>
        </w:tc>
      </w:tr>
      <w:tr>
        <w:tc>
          <w:tcPr>
            <w:tcW w:type="dxa" w:w="1008"/>
            <w:vAlign w:val="center"/>
          </w:tcPr>
          <w:p>
            <w:r>
              <w:rPr>
                <w:sz w:val="18"/>
              </w:rPr>
              <w:t>4</w:t>
            </w:r>
          </w:p>
        </w:tc>
        <w:tc>
          <w:tcPr>
            <w:tcW w:type="dxa" w:w="4608"/>
            <w:vAlign w:val="center"/>
          </w:tcPr>
          <w:p>
            <w:r>
              <w:rPr>
                <w:sz w:val="18"/>
              </w:rPr>
              <w:t>Adaptive predictive measurement twin</w:t>
            </w:r>
          </w:p>
        </w:tc>
        <w:tc>
          <w:tcPr>
            <w:tcW w:type="dxa" w:w="4752"/>
            <w:vAlign w:val="center"/>
          </w:tcPr>
          <w:p>
            <w:r>
              <w:rPr>
                <w:sz w:val="18"/>
              </w:rPr>
              <w:t>Completed in controlled Pyxel simulations</w:t>
            </w:r>
          </w:p>
        </w:tc>
      </w:tr>
      <w:tr>
        <w:tc>
          <w:tcPr>
            <w:tcW w:type="dxa" w:w="1008"/>
            <w:vAlign w:val="center"/>
          </w:tcPr>
          <w:p>
            <w:r>
              <w:rPr>
                <w:sz w:val="18"/>
              </w:rPr>
              <w:t>5</w:t>
            </w:r>
          </w:p>
        </w:tc>
        <w:tc>
          <w:tcPr>
            <w:tcW w:type="dxa" w:w="4608"/>
            <w:vAlign w:val="center"/>
          </w:tcPr>
          <w:p>
            <w:r>
              <w:rPr>
                <w:sz w:val="18"/>
              </w:rPr>
              <w:t>Experimental twin</w:t>
            </w:r>
          </w:p>
        </w:tc>
        <w:tc>
          <w:tcPr>
            <w:tcW w:type="dxa" w:w="4752"/>
            <w:vAlign w:val="center"/>
          </w:tcPr>
          <w:p>
            <w:r>
              <w:rPr>
                <w:sz w:val="18"/>
              </w:rPr>
              <w:t>Partially achieved: real measurement-state prediction and prospective monitoring, but no calibrated real physical-parameter twin</w:t>
            </w:r>
          </w:p>
        </w:tc>
      </w:tr>
      <w:tr>
        <w:tc>
          <w:tcPr>
            <w:tcW w:type="dxa" w:w="1008"/>
            <w:vAlign w:val="center"/>
          </w:tcPr>
          <w:p>
            <w:r>
              <w:rPr>
                <w:sz w:val="18"/>
              </w:rPr>
              <w:t>6</w:t>
            </w:r>
          </w:p>
        </w:tc>
        <w:tc>
          <w:tcPr>
            <w:tcW w:type="dxa" w:w="4608"/>
            <w:vAlign w:val="center"/>
          </w:tcPr>
          <w:p>
            <w:r>
              <w:rPr>
                <w:sz w:val="18"/>
              </w:rPr>
              <w:t>Physical / quantum-field twin</w:t>
            </w:r>
          </w:p>
        </w:tc>
        <w:tc>
          <w:tcPr>
            <w:tcW w:type="dxa" w:w="4752"/>
            <w:vAlign w:val="center"/>
          </w:tcPr>
          <w:p>
            <w:r>
              <w:rPr>
                <w:sz w:val="18"/>
              </w:rPr>
              <w:t>Not achieved</w:t>
            </w:r>
          </w:p>
        </w:tc>
      </w:tr>
    </w:tbl>
    <w:p/>
    <w:p>
      <w:pPr>
        <w:pStyle w:val="Heading1"/>
      </w:pPr>
      <w:r>
        <w:t>9. Where We Are Heading</w:t>
      </w:r>
    </w:p>
    <w:p>
      <w:pPr>
        <w:pStyle w:val="Heading2"/>
      </w:pPr>
      <w:r>
        <w:t>9.1 Immediate next step</w:t>
      </w:r>
    </w:p>
    <w:p>
      <w:r>
        <w:t>The next high-value step is not another synthetic Glasgow experiment. It is to connect real detector data and instrument metadata to an appropriate Pyxel detector model so that the experimental twin can move from observable-state surprise toward physically calibrated parameter inference.</w:t>
      </w:r>
    </w:p>
    <w:p>
      <w:pPr>
        <w:jc w:val="center"/>
      </w:pPr>
      <w:r>
        <w:rPr>
          <w:rFonts w:ascii="Cambria Math" w:hAnsi="Cambria Math"/>
          <w:i/>
          <w:sz w:val="22"/>
        </w:rPr>
        <w:t>real detector data + appropriate Pyxel model + instrument metadata → calibrated detector twin</w:t>
      </w:r>
    </w:p>
    <w:p>
      <w:r>
        <w:t>Candidate quantities depend on the instrument but may include gain, read noise, dark current, CTI, persistence, trap populations, quantum efficiency, saturation behavior, or radiation-induced changes.</w:t>
      </w:r>
    </w:p>
    <w:p>
      <w:pPr>
        <w:pStyle w:val="Heading2"/>
      </w:pPr>
      <w:r>
        <w:t>9.2 Pyxel / ESA collaboration question</w:t>
      </w:r>
    </w:p>
    <w:p>
      <w:pPr>
        <w:pStyle w:val="ExecutiveCallout"/>
      </w:pPr>
      <w:r>
        <w:t>Can a Pyxel detector model be maintained as an adaptive digital twin of an experimental detector by using QMS to determine what is observable, detect model–measurement divergence, localize the first inconsistent pipeline stage, infer identifiable parameters, and trigger model adaptation?</w:t>
      </w:r>
    </w:p>
    <w:p>
      <w:pPr>
        <w:pStyle w:val="Heading2"/>
      </w:pPr>
      <w:r>
        <w:t>9.3 Long-term direction</w:t>
      </w:r>
    </w:p>
    <w:p>
      <w:r>
        <w:t>The detector twin is a prerequisite rather than the endpoint. The longer-term goal is to separate detector change, measurement-architecture change, model inadequacy and underlying physical-state change.</w:t>
      </w:r>
    </w:p>
    <w:p>
      <w:pPr>
        <w:jc w:val="center"/>
      </w:pPr>
      <w:r>
        <w:rPr>
          <w:rFonts w:ascii="Cambria Math" w:hAnsi="Cambria Math"/>
          <w:i/>
          <w:sz w:val="22"/>
        </w:rPr>
        <w:t>physical environment → interaction → detector → measurement</w:t>
      </w:r>
    </w:p>
    <w:p>
      <w:pPr>
        <w:jc w:val="center"/>
      </w:pPr>
      <w:r>
        <w:rPr>
          <w:rFonts w:ascii="Cambria Math" w:hAnsi="Cambria Math"/>
          <w:i/>
          <w:sz w:val="22"/>
        </w:rPr>
        <w:t>virtual environment → virtual detector → predicted measurement</w:t>
      </w:r>
    </w:p>
    <w:p>
      <w:r>
        <w:t>Only after the measurement layer is trustworthy should QMS attempt to infer dynamics of an underlying physical or quantum environment.</w:t>
      </w:r>
    </w:p>
    <w:p>
      <w:pPr>
        <w:pStyle w:val="Heading1"/>
      </w:pPr>
      <w:r>
        <w:t>10. Recommended ESA/Pyxel Positioning</w:t>
      </w:r>
    </w:p>
    <w:p>
      <w:r>
        <w:t>The strongest concise positioning is:</w:t>
      </w:r>
    </w:p>
    <w:p>
      <w:pPr>
        <w:pStyle w:val="ExecutiveCallout"/>
      </w:pPr>
      <w:r>
        <w:t>Pyxel models the detector. QMS provides an observability, inference-assurance and adaptive-twin layer around that model: it can determine where effects are observable, compare model predictions with measurements, localize divergence, infer supported parameters, quantify prediction surprise and trigger adaptation when the model and detector cease to agree.</w:t>
      </w:r>
    </w:p>
    <w:p>
      <w:r>
        <w:t>This framing avoids claiming a new detector model and emphasizes the complementary capability that the current experiments actually support.</w:t>
      </w:r>
    </w:p>
    <w:p>
      <w:pPr>
        <w:pStyle w:val="Heading1"/>
      </w:pPr>
      <w:r>
        <w:t>11. Evidence Summary</w:t>
      </w:r>
    </w:p>
    <w:tbl>
      <w:tblPr>
        <w:tblStyle w:val="TableGrid"/>
        <w:tblW w:type="auto" w:w="0"/>
        <w:jc w:val="center"/>
        <w:tblLook w:firstColumn="1" w:firstRow="1" w:lastColumn="0" w:lastRow="0" w:noHBand="0" w:noVBand="1" w:val="04A0"/>
      </w:tblPr>
      <w:tblGrid>
        <w:gridCol w:w="5040"/>
        <w:gridCol w:w="5040"/>
      </w:tblGrid>
      <w:tr>
        <w:tc>
          <w:tcPr>
            <w:tcW w:type="dxa" w:w="3312"/>
            <w:shd w:fill="16324F"/>
            <w:vAlign w:val="center"/>
          </w:tcPr>
          <w:p>
            <w:r>
              <w:rPr>
                <w:b/>
                <w:color w:val="FFFFFF"/>
                <w:sz w:val="18"/>
              </w:rPr>
              <w:t>Evidence block</w:t>
            </w:r>
          </w:p>
        </w:tc>
        <w:tc>
          <w:tcPr>
            <w:tcW w:type="dxa" w:w="6768"/>
            <w:shd w:fill="16324F"/>
            <w:vAlign w:val="center"/>
          </w:tcPr>
          <w:p>
            <w:r>
              <w:rPr>
                <w:b/>
                <w:color w:val="FFFFFF"/>
                <w:sz w:val="18"/>
              </w:rPr>
              <w:t>Representative result</w:t>
            </w:r>
          </w:p>
        </w:tc>
      </w:tr>
      <w:tr>
        <w:tc>
          <w:tcPr>
            <w:tcW w:type="dxa" w:w="3312"/>
            <w:vAlign w:val="center"/>
          </w:tcPr>
          <w:p>
            <w:r>
              <w:rPr>
                <w:sz w:val="18"/>
              </w:rPr>
              <w:t>Pyxel stage observability</w:t>
            </w:r>
          </w:p>
        </w:tc>
        <w:tc>
          <w:tcPr>
            <w:tcW w:type="dxa" w:w="6768"/>
            <w:vAlign w:val="center"/>
          </w:tcPr>
          <w:p>
            <w:r>
              <w:rPr>
                <w:sz w:val="18"/>
              </w:rPr>
              <w:t>Weak CTI visible at Pixel yet strongly suppressed after quantization; output-node noise appears downstream.</w:t>
            </w:r>
          </w:p>
        </w:tc>
      </w:tr>
      <w:tr>
        <w:tc>
          <w:tcPr>
            <w:tcW w:type="dxa" w:w="3312"/>
            <w:vAlign w:val="center"/>
          </w:tcPr>
          <w:p>
            <w:r>
              <w:rPr>
                <w:sz w:val="18"/>
              </w:rPr>
              <w:t>Blind CTI inverse</w:t>
            </w:r>
          </w:p>
        </w:tc>
        <w:tc>
          <w:tcPr>
            <w:tcW w:type="dxa" w:w="6768"/>
            <w:vAlign w:val="center"/>
          </w:tcPr>
          <w:p>
            <w:r>
              <w:rPr>
                <w:sz w:val="18"/>
              </w:rPr>
              <w:t>True 5 × 10^9 → estimated ≈ 4.9999995 × 10^9 within known CDM family.</w:t>
            </w:r>
          </w:p>
        </w:tc>
      </w:tr>
      <w:tr>
        <w:tc>
          <w:tcPr>
            <w:tcW w:type="dxa" w:w="3312"/>
            <w:vAlign w:val="center"/>
          </w:tcPr>
          <w:p>
            <w:r>
              <w:rPr>
                <w:sz w:val="18"/>
              </w:rPr>
              <w:t>Adaptive reconvergence</w:t>
            </w:r>
          </w:p>
        </w:tc>
        <w:tc>
          <w:tcPr>
            <w:tcW w:type="dxa" w:w="6768"/>
            <w:vAlign w:val="center"/>
          </w:tcPr>
          <w:p>
            <w:r>
              <w:rPr>
                <w:sz w:val="18"/>
              </w:rPr>
              <w:t>Pixel residual reduction ≈ 99.99999%.</w:t>
            </w:r>
          </w:p>
        </w:tc>
      </w:tr>
      <w:tr>
        <w:tc>
          <w:tcPr>
            <w:tcW w:type="dxa" w:w="3312"/>
            <w:vAlign w:val="center"/>
          </w:tcPr>
          <w:p>
            <w:r>
              <w:rPr>
                <w:sz w:val="18"/>
              </w:rPr>
              <w:t>Noise calibration</w:t>
            </w:r>
          </w:p>
        </w:tc>
        <w:tc>
          <w:tcPr>
            <w:tcW w:type="dxa" w:w="6768"/>
            <w:vAlign w:val="center"/>
          </w:tcPr>
          <w:p>
            <w:r>
              <w:rPr>
                <w:sz w:val="18"/>
              </w:rPr>
              <w:t>Mean error 11.394% → 0.135%.</w:t>
            </w:r>
          </w:p>
        </w:tc>
      </w:tr>
      <w:tr>
        <w:tc>
          <w:tcPr>
            <w:tcW w:type="dxa" w:w="3312"/>
            <w:vAlign w:val="center"/>
          </w:tcPr>
          <w:p>
            <w:r>
              <w:rPr>
                <w:sz w:val="18"/>
              </w:rPr>
              <w:t>External ingestion</w:t>
            </w:r>
          </w:p>
        </w:tc>
        <w:tc>
          <w:tcPr>
            <w:tcW w:type="dxa" w:w="6768"/>
            <w:vAlign w:val="center"/>
          </w:tcPr>
          <w:p>
            <w:r>
              <w:rPr>
                <w:sz w:val="18"/>
              </w:rPr>
              <w:t>Recovered CTI ≈ 5 × 10^9 and noise ≈ 5 × 10^-4 from externalized observation.</w:t>
            </w:r>
          </w:p>
        </w:tc>
      </w:tr>
      <w:tr>
        <w:tc>
          <w:tcPr>
            <w:tcW w:type="dxa" w:w="3312"/>
            <w:vAlign w:val="center"/>
          </w:tcPr>
          <w:p>
            <w:r>
              <w:rPr>
                <w:sz w:val="18"/>
              </w:rPr>
              <w:t>Real causal prospective twin</w:t>
            </w:r>
          </w:p>
        </w:tc>
        <w:tc>
          <w:tcPr>
            <w:tcW w:type="dxa" w:w="6768"/>
            <w:vAlign w:val="center"/>
          </w:tcPr>
          <w:p>
            <w:r>
              <w:rPr>
                <w:sz w:val="18"/>
              </w:rPr>
              <w:t>Frozen early reference and threshold; 701 and 801 flagged without future-data leakage.</w:t>
            </w:r>
          </w:p>
        </w:tc>
      </w:tr>
      <w:tr>
        <w:tc>
          <w:tcPr>
            <w:tcW w:type="dxa" w:w="3312"/>
            <w:vAlign w:val="center"/>
          </w:tcPr>
          <w:p>
            <w:r>
              <w:rPr>
                <w:sz w:val="18"/>
              </w:rPr>
              <w:t>Alert consolidation</w:t>
            </w:r>
          </w:p>
        </w:tc>
        <w:tc>
          <w:tcPr>
            <w:tcW w:type="dxa" w:w="6768"/>
            <w:vAlign w:val="center"/>
          </w:tcPr>
          <w:p>
            <w:r>
              <w:rPr>
                <w:sz w:val="18"/>
              </w:rPr>
              <w:t>64 raw prospective flags → 6 macro episodes at one-window refractory timescale.</w:t>
            </w:r>
          </w:p>
        </w:tc>
      </w:tr>
      <w:tr>
        <w:tc>
          <w:tcPr>
            <w:tcW w:type="dxa" w:w="3312"/>
            <w:vAlign w:val="center"/>
          </w:tcPr>
          <w:p>
            <w:r>
              <w:rPr>
                <w:sz w:val="18"/>
              </w:rPr>
              <w:t>Causal-baseline robustness</w:t>
            </w:r>
          </w:p>
        </w:tc>
        <w:tc>
          <w:tcPr>
            <w:tcW w:type="dxa" w:w="6768"/>
            <w:vAlign w:val="center"/>
          </w:tcPr>
          <w:p>
            <w:r>
              <w:rPr>
                <w:sz w:val="18"/>
              </w:rPr>
              <w:t>Peaks 951, 1598, 2316, 2761, 3458 and 3875 recur in 6/6 tested causal settings.</w:t>
            </w:r>
          </w:p>
        </w:tc>
      </w:tr>
    </w:tbl>
    <w:p/>
    <w:p>
      <w:pPr>
        <w:pStyle w:val="Heading1"/>
      </w:pPr>
      <w:r>
        <w:t>12. Conclusion</w:t>
      </w:r>
    </w:p>
    <w:p>
      <w:r>
        <w:t>The QMS–Pyxel program has progressed from static detector diagnostics to a functioning computational adaptive detector twin and a causal real-data measurement-state twin.</w:t>
      </w:r>
    </w:p>
    <w:p>
      <w:pPr>
        <w:jc w:val="center"/>
      </w:pPr>
      <w:r>
        <w:rPr>
          <w:rFonts w:ascii="Cambria Math" w:hAnsi="Cambria Math"/>
          <w:i/>
          <w:sz w:val="22"/>
        </w:rPr>
        <w:t>simulate → observe → compare → infer → predict → adapt</w:t>
      </w:r>
    </w:p>
    <w:p>
      <w:r>
        <w:t>The strongest contribution is not a new detector-physics model. It is the addition of a measurement-system assurance layer around the detector model. Pyxel supplies the detector forward model; QMS supplies the machinery to ask whether that model remains consistent with measurement, what is observable at each representation, what can legitimately be inferred, and when the twin should adapt.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QMS + Pyxel Adaptive Measurement Twin | Scientific Consolidation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C5F8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00" w:after="100"/>
    </w:pPr>
    <w:rPr>
      <w:rFonts w:ascii="Aptos" w:hAnsi="Aptos"/>
      <w:b/>
      <w:color w:val="16324F"/>
      <w:sz w:val="22"/>
    </w:rPr>
  </w:style>
  <w:style w:type="paragraph" w:customStyle="1" w:styleId="SmallNote">
    <w:name w:val="Small Note"/>
    <w:rPr>
      <w:rFonts w:ascii="Aptos" w:hAnsi="Aptos"/>
      <w:color w:val="5B67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