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QMS Platform</w:t>
        <w:br/>
        <w:t>Scientific Development and Validation Report</w:t>
      </w:r>
    </w:p>
    <w:p>
      <w:pPr>
        <w:jc w:val="center"/>
      </w:pPr>
      <w:r>
        <w:rPr>
          <w:b/>
        </w:rPr>
        <w:t>Version 0.1.0 — Project checkpoint through 17 August 2026</w:t>
      </w:r>
    </w:p>
    <w:p>
      <w:pPr>
        <w:jc w:val="center"/>
      </w:pPr>
      <w:r>
        <w:t>Scope: consolidated scientific and engineering record of the QMS + DPI + AURORA measurement-twin platform work completed in this development session.</w:t>
      </w:r>
    </w:p>
    <w:p>
      <w:pPr>
        <w:pStyle w:val="Heading1"/>
      </w:pPr>
      <w:r>
        <w:t>Executive Summary</w:t>
      </w:r>
    </w:p>
    <w:p>
      <w:r>
        <w:t>QMS Platform was developed into an installable, modality-aware measurement-twin runtime that connects measurement ingestion, inverse reconstruction, detector-state evolution, observable-manifold construction, AURORA dynamics, persistence/replay, and scientific evidence reporting.</w:t>
      </w:r>
    </w:p>
    <w:p>
      <w:r>
        <w:t>The platform currently has validated optical/DPI and MRI branches. Synthetic tests demonstrate matched optical upstream reconstruction, blind source-depth inference, active observability, and essentially exact single-coil Cartesian MRI inverse reconstruction. A real Glasgow single-photon dataset was ingested and analyzed. The real-data results support reproducible detector-plane spatial structure, held-out spatial predictability, and genuine joint X-Y information, but do not support strong acquisition-order dynamics or slow drift beyond the tested null models. Real phase-aware upstream DPI reconstruction remains unavailable because the Glasgow data do not contain the quadrature/phase information required by the present inversion.</w:t>
      </w:r>
    </w:p>
    <w:p>
      <w:pPr>
        <w:pStyle w:val="Heading1"/>
      </w:pPr>
      <w:r>
        <w:t>1. Scientific Objective</w:t>
      </w:r>
    </w:p>
    <w:p>
      <w:r>
        <w:t>The project objective is to build a common measurement-twin architecture in which raw or reconstructed measurements from different modalities can be converted into physically meaningful reconstructed fields, observable states, and dynamical summaries without conflating measured evidence with inferred hidden state.</w:t>
      </w:r>
    </w:p>
    <w:p>
      <w:r>
        <w:t>The full conceptual pipeline established in this work is:</w:t>
      </w:r>
    </w:p>
    <w:p>
      <w:pPr/>
      <w:r>
        <w:rPr>
          <w:b/>
        </w:rPr>
        <w:t>measurement -&gt; QMS diagnostics -&gt; modality-specific inverse reconstruction -&gt; reconstructed field evolution -&gt; detector state -&gt; observable manifold -&gt; AURORA dynamics -&gt; persistent twin state / replay</w:t>
      </w:r>
    </w:p>
    <w:p>
      <w:pPr>
        <w:pStyle w:val="Heading1"/>
      </w:pPr>
      <w:r>
        <w:t>2. Core Platform Architecture</w:t>
      </w:r>
    </w:p>
    <w:p>
      <w:pPr>
        <w:pStyle w:val="ListBullet"/>
      </w:pPr>
      <w:r>
        <w:t>Measurement ingestion contracts and modality metadata.</w:t>
      </w:r>
    </w:p>
    <w:p>
      <w:pPr>
        <w:pStyle w:val="ListBullet"/>
      </w:pPr>
      <w:r>
        <w:t>Reconstruction adapters for optical DPI, reconstructed MRI, and raw MRI k-space.</w:t>
      </w:r>
    </w:p>
    <w:p>
      <w:pPr>
        <w:pStyle w:val="ListBullet"/>
      </w:pPr>
      <w:r>
        <w:t>MeasurementTwinPlatform as the unified runtime.</w:t>
      </w:r>
    </w:p>
    <w:p>
      <w:pPr>
        <w:pStyle w:val="ListBullet"/>
      </w:pPr>
      <w:r>
        <w:t>Detector-state construction from temporal field evolution.</w:t>
      </w:r>
    </w:p>
    <w:p>
      <w:pPr>
        <w:pStyle w:val="ListBullet"/>
      </w:pPr>
      <w:r>
        <w:t>Observable manifold construction, initially using C, K, E summaries.</w:t>
      </w:r>
    </w:p>
    <w:p>
      <w:pPr>
        <w:pStyle w:val="ListBullet"/>
      </w:pPr>
      <w:r>
        <w:t>AURORA dynamical enrichment including drift, attractor geometry/distortion, and local instability.</w:t>
      </w:r>
    </w:p>
    <w:p>
      <w:pPr>
        <w:pStyle w:val="ListBullet"/>
      </w:pPr>
      <w:r>
        <w:t>TwinRecorder and TwinReplay for persistence and deterministic inspection of prior states.</w:t>
      </w:r>
    </w:p>
    <w:p>
      <w:pPr>
        <w:pStyle w:val="ListBullet"/>
      </w:pPr>
      <w:r>
        <w:t>Public qms_platform package and factory functions for optical and MRI runtimes.</w:t>
      </w:r>
    </w:p>
    <w:p>
      <w:pPr>
        <w:pStyle w:val="Heading1"/>
      </w:pPr>
      <w:r>
        <w:t>3. Optical / DPI Development</w:t>
      </w:r>
    </w:p>
    <w:p>
      <w:r>
        <w:t>The optical branch uses four phase-shifted/quadrature detector measurements to recover a complex detector field and then applies DPI propagation/inversion to estimate an upstream source field and source depth.</w:t>
      </w:r>
    </w:p>
    <w:p>
      <w:pPr>
        <w:pStyle w:val="Heading2"/>
      </w:pPr>
      <w:r>
        <w:t>3.1 Matched reconstruction</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DPI 4Q mean normalized complex error</w:t>
            </w:r>
          </w:p>
        </w:tc>
        <w:tc>
          <w:tcPr>
            <w:tcW w:type="dxa" w:w="4968"/>
          </w:tcPr>
          <w:p>
            <w:r>
              <w:t>0.04578757</w:t>
            </w:r>
          </w:p>
        </w:tc>
      </w:tr>
      <w:tr>
        <w:tc>
          <w:tcPr>
            <w:tcW w:type="dxa" w:w="4968"/>
          </w:tcPr>
          <w:p>
            <w:r>
              <w:t>Weighted phase error</w:t>
            </w:r>
          </w:p>
        </w:tc>
        <w:tc>
          <w:tcPr>
            <w:tcW w:type="dxa" w:w="4968"/>
          </w:tcPr>
          <w:p>
            <w:r>
              <w:t>0.00443363 rad</w:t>
            </w:r>
          </w:p>
        </w:tc>
      </w:tr>
      <w:tr>
        <w:tc>
          <w:tcPr>
            <w:tcW w:type="dxa" w:w="4968"/>
          </w:tcPr>
          <w:p>
            <w:r>
              <w:t>Centroid error</w:t>
            </w:r>
          </w:p>
        </w:tc>
        <w:tc>
          <w:tcPr>
            <w:tcW w:type="dxa" w:w="4968"/>
          </w:tcPr>
          <w:p>
            <w:r>
              <w:t>0.110701 microns</w:t>
            </w:r>
          </w:p>
        </w:tc>
      </w:tr>
      <w:tr>
        <w:tc>
          <w:tcPr>
            <w:tcW w:type="dxa" w:w="4968"/>
          </w:tcPr>
          <w:p>
            <w:r>
              <w:t>Separation error</w:t>
            </w:r>
          </w:p>
        </w:tc>
        <w:tc>
          <w:tcPr>
            <w:tcW w:type="dxa" w:w="4968"/>
          </w:tcPr>
          <w:p>
            <w:r>
              <w:t>3.142758 microns</w:t>
            </w:r>
          </w:p>
        </w:tc>
      </w:tr>
    </w:tbl>
    <w:p>
      <w:pPr>
        <w:pStyle w:val="Heading2"/>
      </w:pPr>
      <w:r>
        <w:t>3.2 Blind source-depth inference</w:t>
      </w:r>
    </w:p>
    <w:p>
      <w:r>
        <w:t>Virtual propagation/source search was used to infer source depth without supplying the true z. The noiseless depth MAE was approximately 0.000069 mm. At 4% noise the depth MAE was 1.056474 mm, with 60% of trials within 1 mm.</w:t>
      </w:r>
    </w:p>
    <w:p>
      <w:pPr>
        <w:pStyle w:val="Heading2"/>
      </w:pPr>
      <w:r>
        <w:t>3.3 Depth-wavelength degeneracy</w:t>
      </w:r>
    </w:p>
    <w:p>
      <w:r>
        <w:t>Depth and wavelength were explicitly tested as coupled model parameters. The work established that depth inference can become degenerate with wavelength/model assumptions, so depth estimates must be interpreted as conditional on the measurement model unless additional observability is supplied.</w:t>
      </w:r>
    </w:p>
    <w:p>
      <w:pPr>
        <w:pStyle w:val="Heading2"/>
      </w:pPr>
      <w:r>
        <w:t>3.4 Active observability</w:t>
      </w:r>
    </w:p>
    <w:p>
      <w:r>
        <w:t>The twin evaluated candidate wavelengths and selected an additional measurement that improved depth inference. The selected wavelength was 850 nm. Single-measurement MAE was 0.093470 mm and active MAE was 0.060774 mm, an improvement of approximately 34.98%. The present selector uses a heuristic curvature criterion rather than calibrated expected information gain.</w:t>
      </w:r>
    </w:p>
    <w:p>
      <w:pPr>
        <w:pStyle w:val="Heading1"/>
      </w:pPr>
      <w:r>
        <w:t>4. Unified Twin Runtime and Persistence</w:t>
      </w:r>
    </w:p>
    <w:p>
      <w:r>
        <w:t>The MeasurementTwinPlatform was integrated with the DPI twin and AURORA layer. Streaming tests showed state versioning, field-history growth, manifold construction, and delayed dynamics activation after the minimum number of states. In a representative 12-step optical stream, the manifold grew to (11, 3), dynamics became available from step 4 onward, and the recovered upstream depth remained 0.073 m.</w:t>
      </w:r>
    </w:p>
    <w:p>
      <w:r>
        <w:t>Persistence/replay was then integrated. A 12-state live run was recorded and replayed successfully; the final replayed version was 12, upstream z was 0.073 m, and visibility was 0.13905889173625713.</w:t>
      </w:r>
    </w:p>
    <w:p>
      <w:pPr>
        <w:pStyle w:val="Heading1"/>
      </w:pPr>
      <w:r>
        <w:t>5. Raw Measurement Ingestion</w:t>
      </w:r>
    </w:p>
    <w:p>
      <w:r>
        <w:t>A public ingestion layer was added so raw measurements can enter the platform rather than requiring callers to construct internal field objects manually. The quadrature detector ingestion test processed eight measurements, recovered a final upstream depth of 0.073 m, and produced a dynamics-ready state.</w:t>
      </w:r>
    </w:p>
    <w:p>
      <w:pPr>
        <w:pStyle w:val="Heading1"/>
      </w:pPr>
      <w:r>
        <w:t>6. MRI Integration</w:t>
      </w:r>
    </w:p>
    <w:p>
      <w:pPr>
        <w:pStyle w:val="Heading2"/>
      </w:pPr>
      <w:r>
        <w:t>6.1 Reconstructed MRI adapter</w:t>
      </w:r>
    </w:p>
    <w:p>
      <w:r>
        <w:t>A reconstructed 4D MRI adapter was validated on data with original shape (64, 64, 8, 20), transformed to the platform convention (20, 64, 64, 8). The field domain was mri_reconstructed_volume and no raw k-space reconstruction was claimed for this path.</w:t>
      </w:r>
    </w:p>
    <w:p>
      <w:pPr>
        <w:pStyle w:val="Heading2"/>
      </w:pPr>
      <w:r>
        <w:t>6.2 MRI observability pipeline</w:t>
      </w:r>
    </w:p>
    <w:p>
      <w:r>
        <w:t>The reconstructed MRI sequence produced a detector state of (19, 64, 64, 8), an observable manifold of (19, 3) with names [C, K, E], and AURORA dynamics. Representative outputs were drift 0.7796105556, attractor radius 1.1628985401, distortion 0.5310755039, and mean local instability 0.7873843301.</w:t>
      </w:r>
    </w:p>
    <w:p>
      <w:pPr>
        <w:pStyle w:val="Heading2"/>
      </w:pPr>
      <w:r>
        <w:t>6.3 Raw k-space inverse reconstruction</w:t>
      </w:r>
    </w:p>
    <w:p>
      <w:r>
        <w:t>A single-coil Cartesian inverse FFT adapter was implemented and tested. For truth shape (12, 64, 64, 6) and k-space shape (12, 6, 64, 64), reconstruction returned (12, 64, 64, 6). Normalized complex error was 2.866785590555e-16, normalized magnitude error 2.356149369609e-16, weighted phase error 7.094471697804e-17 rad, and maximum absolute error 2.482534153247e-16.</w:t>
      </w:r>
    </w:p>
    <w:p>
      <w:pPr>
        <w:pStyle w:val="Heading2"/>
      </w:pPr>
      <w:r>
        <w:t>6.4 Raw MRI runtime</w:t>
      </w:r>
    </w:p>
    <w:p>
      <w:r>
        <w:t>Raw MRI k-space was routed through MeasurementAdapter -&gt; MRI inverse reconstruction -&gt; reconstructed 4D field -&gt; DetectorState -&gt; CKE manifold -&gt; AURORA. The runtime produced detector state (11, 64, 64, 6), manifold (11, 3), and dynamics-ready=True, with normalized complex error 2.830444456425e-16.</w:t>
      </w:r>
    </w:p>
    <w:p>
      <w:r>
        <w:t>Current MRI scope is intentionally limited: single-coil Cartesian inverse FFT only. Multi-coil sensitivity reconstruction, SENSE/GRAPPA, non-Cartesian trajectories, compressed sensing, scanner corrections, and vendor raw formats are not yet implemented.</w:t>
      </w:r>
    </w:p>
    <w:p>
      <w:pPr>
        <w:pStyle w:val="Heading1"/>
      </w:pPr>
      <w:r>
        <w:t>7. Public Package and Factories</w:t>
      </w:r>
    </w:p>
    <w:p>
      <w:r>
        <w:t>The project was packaged as qms-platform version 0.1.0. Public API tests exposed MeasurementTwinPlatform, DPIReconstructionAdapter, MRIKSpaceReconstructionAdapter, TwinRecorder, and TwinReplay. Editable installation was verified. Factory tests passed for both MRI and optical configurations.</w:t>
      </w:r>
    </w:p>
    <w:p>
      <w:pPr>
        <w:pStyle w:val="Heading1"/>
      </w:pPr>
      <w:r>
        <w:t>8. Glasgow Real Single-Photon Dataset</w:t>
      </w:r>
    </w:p>
    <w:p>
      <w:r>
        <w:t>The Glasgow Heralded Diffraction SM archive was used as the principal real-data validation dataset. It contains cumulative sparse detector counts rather than complex/quadrature field measurements.</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property</w:t>
            </w:r>
          </w:p>
        </w:tc>
        <w:tc>
          <w:tcPr>
            <w:tcW w:type="dxa" w:w="4968"/>
          </w:tcPr>
          <w:p>
            <w:r>
              <w:t>Value</w:t>
            </w:r>
          </w:p>
        </w:tc>
      </w:tr>
      <w:tr>
        <w:tc>
          <w:tcPr>
            <w:tcW w:type="dxa" w:w="4968"/>
          </w:tcPr>
          <w:p>
            <w:r>
              <w:t>Detector shape</w:t>
            </w:r>
          </w:p>
        </w:tc>
        <w:tc>
          <w:tcPr>
            <w:tcW w:type="dxa" w:w="4968"/>
          </w:tcPr>
          <w:p>
            <w:r>
              <w:t>512 x 512</w:t>
            </w:r>
          </w:p>
        </w:tc>
      </w:tr>
      <w:tr>
        <w:tc>
          <w:tcPr>
            <w:tcW w:type="dxa" w:w="4968"/>
          </w:tcPr>
          <w:p>
            <w:r>
              <w:t>Recovered acquisition increments</w:t>
            </w:r>
          </w:p>
        </w:tc>
        <w:tc>
          <w:tcPr>
            <w:tcW w:type="dxa" w:w="4968"/>
          </w:tcPr>
          <w:p>
            <w:r>
              <w:t>4069</w:t>
            </w:r>
          </w:p>
        </w:tc>
      </w:tr>
      <w:tr>
        <w:tc>
          <w:tcPr>
            <w:tcW w:type="dxa" w:w="4968"/>
          </w:tcPr>
          <w:p>
            <w:r>
              <w:t>Total positive detector-event weight</w:t>
            </w:r>
          </w:p>
        </w:tc>
        <w:tc>
          <w:tcPr>
            <w:tcW w:type="dxa" w:w="4968"/>
          </w:tcPr>
          <w:p>
            <w:r>
              <w:t>40110</w:t>
            </w:r>
          </w:p>
        </w:tc>
      </w:tr>
      <w:tr>
        <w:tc>
          <w:tcPr>
            <w:tcW w:type="dxa" w:w="4968"/>
          </w:tcPr>
          <w:p>
            <w:r>
              <w:t>Rolling history used in runtime</w:t>
            </w:r>
          </w:p>
        </w:tc>
        <w:tc>
          <w:tcPr>
            <w:tcW w:type="dxa" w:w="4968"/>
          </w:tcPr>
          <w:p>
            <w:r>
              <w:t>64</w:t>
            </w:r>
          </w:p>
        </w:tc>
      </w:tr>
    </w:tbl>
    <w:p>
      <w:pPr>
        <w:pStyle w:val="Heading2"/>
      </w:pPr>
      <w:r>
        <w:t>8.1 Real event-stream runtime</w:t>
      </w:r>
    </w:p>
    <w:p>
      <w:r>
        <w:t>All 4069 increments were processed through the real detector event path. The final detector state was (63, 512, 512), the observable manifold was (63, 3), and AURORA dynamics were available. No phase-aware DPI upstream reconstruction was claimed for this dataset.</w:t>
      </w:r>
    </w:p>
    <w:p>
      <w:pPr>
        <w:pStyle w:val="Heading2"/>
      </w:pPr>
      <w:r>
        <w:t>8.2 Temporal-order null tests</w:t>
      </w:r>
    </w:p>
    <w:p>
      <w:r>
        <w:t>The final-window shuffle null showed no significant order sensitivity: drift p=0.522388, attractor distortion p=0.736318, and mean local instability p=0.706468.</w:t>
      </w:r>
    </w:p>
    <w:p>
      <w:r>
        <w:t>A 63-window temporal null with 100 shuffles per window found raw p&lt;0.05 windows but no Bonferroni-significant windows for drift, attractor distortion, or mean local instability. The Bonferroni threshold was 0.0007936508. The smallest observed p-values were 0.00990099 for drift and instability and 0.02970297 for distortion. Because only 100 permutations were used, 1/101 ≈ 0.0099 was also the empirical p-value floor.</w:t>
      </w:r>
    </w:p>
    <w:p>
      <w:pPr>
        <w:pStyle w:val="Heading2"/>
      </w:pPr>
      <w:r>
        <w:t>8.3 Photon-event-specific observable test</w:t>
      </w:r>
    </w:p>
    <w:p>
      <w:r>
        <w:t>A photon-event observable representation was introduced using event count, centroid coordinates, spatial spreads, and radial RMS. On the final 64 increments, the permutation test again showed no temporal-order evidence: drift p=0.915423, attractor distortion p=0.641791, and mean local instability p=0.781095. Attractor distortion was effectively invariant to permutation in this test.</w:t>
      </w:r>
    </w:p>
    <w:p>
      <w:pPr>
        <w:pStyle w:val="Heading2"/>
      </w:pPr>
      <w:r>
        <w:t>8.4 Event accumulation convergence</w:t>
      </w:r>
    </w:p>
    <w:p>
      <w:r>
        <w:t>The cumulative photon pattern was compared retrospectively with the final 40,110-event image. Correlation reached at least 0.90 at 30,000 events. Correlation &gt;=0.95 and &gt;=0.99, JS divergence &lt;=0.05, and normalized RMSE &lt;=0.25 were first reached at the 40,000-event checkpoint. This demonstrates gradual convergence to the final detector pattern, but it is not a held-out predictive test because the final image is used as the target.</w:t>
      </w:r>
    </w:p>
    <w:p>
      <w:pPr>
        <w:pStyle w:val="Heading2"/>
      </w:pPr>
      <w:r>
        <w:t>8.5 Held-out spatial prediction</w:t>
      </w:r>
    </w:p>
    <w:p>
      <w:r>
        <w:t>Previously established real-data validation was consolidated into the platform evidence suite. A spatial model trained on earlier events predicted untouched future events better than a uniform detector model. With 32,088 training events and 8,022 held-out events, the information gain was 1.06422936 bits/event. Positive gain first appeared at approximately 19,252 training events.</w:t>
      </w:r>
    </w:p>
    <w:p>
      <w:pPr>
        <w:pStyle w:val="Heading2"/>
      </w:pPr>
      <w:r>
        <w:t>8.6 Joint X-Y information</w:t>
      </w:r>
    </w:p>
    <w:p>
      <w:r>
        <w:t>Joint two-dimensional spatial modeling outperformed factorized X/Y modeling on untouched data. The factorized model gained 1.48662209 bits/event over uniform; the joint model gained 1.56309501 bits/event over uniform; joint-vs-factorized gain was 0.07647292 bits/event. The joint model won in 8/8 blocks, with permutation p=0.009901.</w:t>
      </w:r>
    </w:p>
    <w:p>
      <w:pPr>
        <w:pStyle w:val="Heading2"/>
      </w:pPr>
      <w:r>
        <w:t>8.7 Stationarity tests</w:t>
      </w:r>
    </w:p>
    <w:p>
      <w:r>
        <w:t>Slow spatial variation was tested against stationarity/sampling nulls. Reported p-values included x-range 0.638723, y-range 0.598802, width-range 0.133733, mean centroid step 0.504990, max JS from first 0.165669, mean adjacent JS 0.239521, and max adjacent JS 0.091816. The tested slow drift was therefore not supported as exceeding stationarity noise.</w:t>
      </w:r>
    </w:p>
    <w:p>
      <w:pPr>
        <w:pStyle w:val="Heading1"/>
      </w:pPr>
      <w:r>
        <w:t>9. Consolidated Scientific Interpretation</w:t>
      </w:r>
    </w:p>
    <w:p>
      <w:r>
        <w:t>The Glasgow real-data results support the following:</w:t>
      </w:r>
    </w:p>
    <w:p>
      <w:pPr>
        <w:pStyle w:val="ListBullet"/>
      </w:pPr>
      <w:r>
        <w:t>Strong reproducible detector-plane spatial structure.</w:t>
      </w:r>
    </w:p>
    <w:p>
      <w:pPr>
        <w:pStyle w:val="ListBullet"/>
      </w:pPr>
      <w:r>
        <w:t>Held-out future-event spatial predictability.</w:t>
      </w:r>
    </w:p>
    <w:p>
      <w:pPr>
        <w:pStyle w:val="ListBullet"/>
      </w:pPr>
      <w:r>
        <w:t>Genuine joint two-dimensional spatial dependence beyond independent X and Y marginals.</w:t>
      </w:r>
    </w:p>
    <w:p>
      <w:r>
        <w:t>The same dataset does not currently support:</w:t>
      </w:r>
    </w:p>
    <w:p>
      <w:pPr>
        <w:pStyle w:val="ListBullet"/>
      </w:pPr>
      <w:r>
        <w:t>Strong acquisition-order-sensitive dynamics under the tested CKE/AURORA summaries.</w:t>
      </w:r>
    </w:p>
    <w:p>
      <w:pPr>
        <w:pStyle w:val="ListBullet"/>
      </w:pPr>
      <w:r>
        <w:t>Slow detector-plane drift beyond the tested stationarity/sampling nulls.</w:t>
      </w:r>
    </w:p>
    <w:p>
      <w:pPr>
        <w:pStyle w:val="ListBullet"/>
      </w:pPr>
      <w:r>
        <w:t>Phase-aware upstream complex-field reconstruction with the current DPI inversion.</w:t>
      </w:r>
    </w:p>
    <w:p>
      <w:r>
        <w:t>The central scientific distinction is therefore spatial information versus temporal ordering: the experiment contains substantial spatial predictive information, while the tested acquisition sequence does not provide convincing evidence of a dynamical trajectory.</w:t>
      </w:r>
    </w:p>
    <w:p>
      <w:pPr>
        <w:pStyle w:val="Heading1"/>
      </w:pPr>
      <w:r>
        <w:t>10. Evidence Registry</w:t>
      </w:r>
    </w:p>
    <w:p>
      <w:r>
        <w:t>A canonical evidence system was implemented with statuses DEMONSTRATED, SUPPORTED, NOT_SUPPORTED, and NOT_AVAILABLE. The machine-readable report is generated locally as artifacts/qms_platform_evidence.json.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Evidence item</w:t>
            </w:r>
          </w:p>
        </w:tc>
        <w:tc>
          <w:tcPr>
            <w:tcW w:type="dxa" w:w="3312"/>
          </w:tcPr>
          <w:p>
            <w:r>
              <w:t>Status</w:t>
            </w:r>
          </w:p>
        </w:tc>
        <w:tc>
          <w:tcPr>
            <w:tcW w:type="dxa" w:w="3312"/>
          </w:tcPr>
          <w:p>
            <w:r>
              <w:t>Type</w:t>
            </w:r>
          </w:p>
        </w:tc>
      </w:tr>
      <w:tr>
        <w:tc>
          <w:tcPr>
            <w:tcW w:type="dxa" w:w="3312"/>
          </w:tcPr>
          <w:p>
            <w:r>
              <w:t>Unified measurement-twin runtime</w:t>
            </w:r>
          </w:p>
        </w:tc>
        <w:tc>
          <w:tcPr>
            <w:tcW w:type="dxa" w:w="3312"/>
          </w:tcPr>
          <w:p>
            <w:r>
              <w:t>DEMONSTRATED</w:t>
            </w:r>
          </w:p>
        </w:tc>
        <w:tc>
          <w:tcPr>
            <w:tcW w:type="dxa" w:w="3312"/>
          </w:tcPr>
          <w:p>
            <w:r>
              <w:t>architecture</w:t>
            </w:r>
          </w:p>
        </w:tc>
      </w:tr>
      <w:tr>
        <w:tc>
          <w:tcPr>
            <w:tcW w:type="dxa" w:w="3312"/>
          </w:tcPr>
          <w:p>
            <w:r>
              <w:t>Optical raw-ingest runtime</w:t>
            </w:r>
          </w:p>
        </w:tc>
        <w:tc>
          <w:tcPr>
            <w:tcW w:type="dxa" w:w="3312"/>
          </w:tcPr>
          <w:p>
            <w:r>
              <w:t>DEMONSTRATED</w:t>
            </w:r>
          </w:p>
        </w:tc>
        <w:tc>
          <w:tcPr>
            <w:tcW w:type="dxa" w:w="3312"/>
          </w:tcPr>
          <w:p>
            <w:r>
              <w:t>synthetic</w:t>
            </w:r>
          </w:p>
        </w:tc>
      </w:tr>
      <w:tr>
        <w:tc>
          <w:tcPr>
            <w:tcW w:type="dxa" w:w="3312"/>
          </w:tcPr>
          <w:p>
            <w:r>
              <w:t>MRI raw k-space runtime</w:t>
            </w:r>
          </w:p>
        </w:tc>
        <w:tc>
          <w:tcPr>
            <w:tcW w:type="dxa" w:w="3312"/>
          </w:tcPr>
          <w:p>
            <w:r>
              <w:t>DEMONSTRATED</w:t>
            </w:r>
          </w:p>
        </w:tc>
        <w:tc>
          <w:tcPr>
            <w:tcW w:type="dxa" w:w="3312"/>
          </w:tcPr>
          <w:p>
            <w:r>
              <w:t>synthetic</w:t>
            </w:r>
          </w:p>
        </w:tc>
      </w:tr>
      <w:tr>
        <w:tc>
          <w:tcPr>
            <w:tcW w:type="dxa" w:w="3312"/>
          </w:tcPr>
          <w:p>
            <w:r>
              <w:t>Matched DPI upstream reconstruction</w:t>
            </w:r>
          </w:p>
        </w:tc>
        <w:tc>
          <w:tcPr>
            <w:tcW w:type="dxa" w:w="3312"/>
          </w:tcPr>
          <w:p>
            <w:r>
              <w:t>DEMONSTRATED</w:t>
            </w:r>
          </w:p>
        </w:tc>
        <w:tc>
          <w:tcPr>
            <w:tcW w:type="dxa" w:w="3312"/>
          </w:tcPr>
          <w:p>
            <w:r>
              <w:t>synthetic</w:t>
            </w:r>
          </w:p>
        </w:tc>
      </w:tr>
      <w:tr>
        <w:tc>
          <w:tcPr>
            <w:tcW w:type="dxa" w:w="3312"/>
          </w:tcPr>
          <w:p>
            <w:r>
              <w:t>Blind source depth inference</w:t>
            </w:r>
          </w:p>
        </w:tc>
        <w:tc>
          <w:tcPr>
            <w:tcW w:type="dxa" w:w="3312"/>
          </w:tcPr>
          <w:p>
            <w:r>
              <w:t>DEMONSTRATED</w:t>
            </w:r>
          </w:p>
        </w:tc>
        <w:tc>
          <w:tcPr>
            <w:tcW w:type="dxa" w:w="3312"/>
          </w:tcPr>
          <w:p>
            <w:r>
              <w:t>synthetic</w:t>
            </w:r>
          </w:p>
        </w:tc>
      </w:tr>
      <w:tr>
        <w:tc>
          <w:tcPr>
            <w:tcW w:type="dxa" w:w="3312"/>
          </w:tcPr>
          <w:p>
            <w:r>
              <w:t>Active observability</w:t>
            </w:r>
          </w:p>
        </w:tc>
        <w:tc>
          <w:tcPr>
            <w:tcW w:type="dxa" w:w="3312"/>
          </w:tcPr>
          <w:p>
            <w:r>
              <w:t>DEMONSTRATED</w:t>
            </w:r>
          </w:p>
        </w:tc>
        <w:tc>
          <w:tcPr>
            <w:tcW w:type="dxa" w:w="3312"/>
          </w:tcPr>
          <w:p>
            <w:r>
              <w:t>synthetic</w:t>
            </w:r>
          </w:p>
        </w:tc>
      </w:tr>
      <w:tr>
        <w:tc>
          <w:tcPr>
            <w:tcW w:type="dxa" w:w="3312"/>
          </w:tcPr>
          <w:p>
            <w:r>
              <w:t>Glasgow real detector ingestion</w:t>
            </w:r>
          </w:p>
        </w:tc>
        <w:tc>
          <w:tcPr>
            <w:tcW w:type="dxa" w:w="3312"/>
          </w:tcPr>
          <w:p>
            <w:r>
              <w:t>DEMONSTRATED</w:t>
            </w:r>
          </w:p>
        </w:tc>
        <w:tc>
          <w:tcPr>
            <w:tcW w:type="dxa" w:w="3312"/>
          </w:tcPr>
          <w:p>
            <w:r>
              <w:t>real data</w:t>
            </w:r>
          </w:p>
        </w:tc>
      </w:tr>
      <w:tr>
        <w:tc>
          <w:tcPr>
            <w:tcW w:type="dxa" w:w="3312"/>
          </w:tcPr>
          <w:p>
            <w:r>
              <w:t>Real held-out spatial prediction</w:t>
            </w:r>
          </w:p>
        </w:tc>
        <w:tc>
          <w:tcPr>
            <w:tcW w:type="dxa" w:w="3312"/>
          </w:tcPr>
          <w:p>
            <w:r>
              <w:t>SUPPORTED</w:t>
            </w:r>
          </w:p>
        </w:tc>
        <w:tc>
          <w:tcPr>
            <w:tcW w:type="dxa" w:w="3312"/>
          </w:tcPr>
          <w:p>
            <w:r>
              <w:t>real data</w:t>
            </w:r>
          </w:p>
        </w:tc>
      </w:tr>
      <w:tr>
        <w:tc>
          <w:tcPr>
            <w:tcW w:type="dxa" w:w="3312"/>
          </w:tcPr>
          <w:p>
            <w:r>
              <w:t>Real joint X-Y information</w:t>
            </w:r>
          </w:p>
        </w:tc>
        <w:tc>
          <w:tcPr>
            <w:tcW w:type="dxa" w:w="3312"/>
          </w:tcPr>
          <w:p>
            <w:r>
              <w:t>SUPPORTED</w:t>
            </w:r>
          </w:p>
        </w:tc>
        <w:tc>
          <w:tcPr>
            <w:tcW w:type="dxa" w:w="3312"/>
          </w:tcPr>
          <w:p>
            <w:r>
              <w:t>real data</w:t>
            </w:r>
          </w:p>
        </w:tc>
      </w:tr>
      <w:tr>
        <w:tc>
          <w:tcPr>
            <w:tcW w:type="dxa" w:w="3312"/>
          </w:tcPr>
          <w:p>
            <w:r>
              <w:t>Glasgow acquisition-order dynamics</w:t>
            </w:r>
          </w:p>
        </w:tc>
        <w:tc>
          <w:tcPr>
            <w:tcW w:type="dxa" w:w="3312"/>
          </w:tcPr>
          <w:p>
            <w:r>
              <w:t>NOT_SUPPORTED</w:t>
            </w:r>
          </w:p>
        </w:tc>
        <w:tc>
          <w:tcPr>
            <w:tcW w:type="dxa" w:w="3312"/>
          </w:tcPr>
          <w:p>
            <w:r>
              <w:t>real data</w:t>
            </w:r>
          </w:p>
        </w:tc>
      </w:tr>
      <w:tr>
        <w:tc>
          <w:tcPr>
            <w:tcW w:type="dxa" w:w="3312"/>
          </w:tcPr>
          <w:p>
            <w:r>
              <w:t>Glasgow slow drift</w:t>
            </w:r>
          </w:p>
        </w:tc>
        <w:tc>
          <w:tcPr>
            <w:tcW w:type="dxa" w:w="3312"/>
          </w:tcPr>
          <w:p>
            <w:r>
              <w:t>NOT_SUPPORTED</w:t>
            </w:r>
          </w:p>
        </w:tc>
        <w:tc>
          <w:tcPr>
            <w:tcW w:type="dxa" w:w="3312"/>
          </w:tcPr>
          <w:p>
            <w:r>
              <w:t>real data</w:t>
            </w:r>
          </w:p>
        </w:tc>
      </w:tr>
      <w:tr>
        <w:tc>
          <w:tcPr>
            <w:tcW w:type="dxa" w:w="3312"/>
          </w:tcPr>
          <w:p>
            <w:r>
              <w:t>Glasgow upstream complex-field reconstruction</w:t>
            </w:r>
          </w:p>
        </w:tc>
        <w:tc>
          <w:tcPr>
            <w:tcW w:type="dxa" w:w="3312"/>
          </w:tcPr>
          <w:p>
            <w:r>
              <w:t>NOT_AVAILABLE</w:t>
            </w:r>
          </w:p>
        </w:tc>
        <w:tc>
          <w:tcPr>
            <w:tcW w:type="dxa" w:w="3312"/>
          </w:tcPr>
          <w:p>
            <w:r>
              <w:t>real data</w:t>
            </w:r>
          </w:p>
        </w:tc>
      </w:tr>
    </w:tbl>
    <w:p>
      <w:r>
        <w:t>Evidence summary at this checkpoint: 7 DEMONSTRATED, 2 SUPPORTED, 2 NOT_SUPPORTED, 1 NOT_AVAILABLE.</w:t>
      </w:r>
    </w:p>
    <w:p>
      <w:pPr>
        <w:pStyle w:val="Heading1"/>
      </w:pPr>
      <w:r>
        <w:t>11. Software and Repository Checkpoint</w:t>
      </w:r>
    </w:p>
    <w:p>
      <w:r>
        <w:t>The project was initialized as a Git repository, generated artifacts and machine-specific audit outputs were excluded, hard-coded personal paths in Glasgow example scripts were replaced with a GLASGOW_ZIP environment variable / Path.home()-based fallback, and the source tree was compiled before the initial commit.</w:t>
      </w:r>
    </w:p>
    <w:p>
      <w:r>
        <w:t>The repository was created on GitHub as srikarr20/qms-platform. The initial platform commit was pushed to main, followed by a README commit. At the end of the Git workflow, local main tracked origin/main and the working tree was clean.</w:t>
      </w:r>
    </w:p>
    <w:p>
      <w:r>
        <w:t>The README documents architecture, optical and MRI scope, real-data validation, evidence categories, persistence/replay, installation, external runtime roots, scientific boundaries, and current status.</w:t>
      </w:r>
    </w:p>
    <w:p>
      <w:pPr>
        <w:pStyle w:val="Heading1"/>
      </w:pPr>
      <w:r>
        <w:t>12. Scientific Boundaries and Limitations</w:t>
      </w:r>
    </w:p>
    <w:p>
      <w:pPr>
        <w:pStyle w:val="ListBullet"/>
      </w:pPr>
      <w:r>
        <w:t>A reconstructed upstream field is a measurement-conditioned estimate, not a directly measured hidden plane.</w:t>
      </w:r>
    </w:p>
    <w:p>
      <w:pPr>
        <w:pStyle w:val="ListBullet"/>
      </w:pPr>
      <w:r>
        <w:t>Detector-plane predictability does not establish a unique upstream physical state.</w:t>
      </w:r>
    </w:p>
    <w:p>
      <w:pPr>
        <w:pStyle w:val="ListBullet"/>
      </w:pPr>
      <w:r>
        <w:t>The strongest upstream DPI reconstruction evidence is currently matched synthetic evidence.</w:t>
      </w:r>
    </w:p>
    <w:p>
      <w:pPr>
        <w:pStyle w:val="ListBullet"/>
      </w:pPr>
      <w:r>
        <w:t>The Glasgow archive lacks the phase/quadrature information required by the current DPI complex inversion.</w:t>
      </w:r>
    </w:p>
    <w:p>
      <w:pPr>
        <w:pStyle w:val="ListBullet"/>
      </w:pPr>
      <w:r>
        <w:t>Current AURORA/CKE negative temporal results constrain these data and representations; they do not prove the underlying physical system has no dynamics.</w:t>
      </w:r>
    </w:p>
    <w:p>
      <w:pPr>
        <w:pStyle w:val="ListBullet"/>
      </w:pPr>
      <w:r>
        <w:t>MRI validation currently demonstrates the architecture and a matched single-coil Cartesian inverse FFT, not a complete clinical/scanner reconstruction stack.</w:t>
      </w:r>
    </w:p>
    <w:p>
      <w:pPr>
        <w:pStyle w:val="ListBullet"/>
      </w:pPr>
      <w:r>
        <w:t>The active observability selector is presently heuristic rather than a calibrated information-theoretic controller.</w:t>
      </w:r>
    </w:p>
    <w:p>
      <w:pPr>
        <w:pStyle w:val="Heading1"/>
      </w:pPr>
      <w:r>
        <w:t>13. Highest-Value Next Scientific Step</w:t>
      </w:r>
    </w:p>
    <w:p>
      <w:r>
        <w:t>The largest remaining evidence gap is real experimental upstream reconstruction. The next phase should identify a real phase-sensitive/interferometric optical dataset with known ground truth and sufficient measurement information (for example, four phase-shifted measurements or an equivalent complex-field measurement).</w:t>
      </w:r>
    </w:p>
    <w:p>
      <w:r>
        <w:t>Target validation pipeline:</w:t>
      </w:r>
    </w:p>
    <w:p>
      <w:r>
        <w:rPr>
          <w:b/>
        </w:rPr>
        <w:t>real phase-sensitive detector data -&gt; DPI complex-field recovery -&gt; virtual backpropagation -&gt; upstream source estimate -&gt; quantitative comparison with known ground truth</w:t>
      </w:r>
    </w:p>
    <w:p>
      <w:r>
        <w:t>If successful, this would add a real-data upstream reconstruction evidence item and close the most important scientific gap in QMS Platform v0.1.0.</w:t>
      </w:r>
    </w:p>
    <w:p>
      <w:pPr>
        <w:pStyle w:val="Heading1"/>
      </w:pPr>
      <w:r>
        <w:t>14. Continuation Checklist for the Next Chat</w:t>
      </w:r>
    </w:p>
    <w:p>
      <w:pPr>
        <w:pStyle w:val="ListNumber"/>
      </w:pPr>
      <w:r>
        <w:t>Start from the GitHub-backed qms-platform repository at the v0.1.0 checkpoint.</w:t>
      </w:r>
    </w:p>
    <w:p>
      <w:pPr>
        <w:pStyle w:val="ListNumber"/>
      </w:pPr>
      <w:r>
        <w:t>Do not redesign the core architecture unless the next dataset exposes a genuine contract mismatch.</w:t>
      </w:r>
    </w:p>
    <w:p>
      <w:pPr>
        <w:pStyle w:val="ListNumber"/>
      </w:pPr>
      <w:r>
        <w:t>Search for or select a real phase-sensitive/interferometric dataset with known ground truth.</w:t>
      </w:r>
    </w:p>
    <w:p>
      <w:pPr>
        <w:pStyle w:val="ListNumber"/>
      </w:pPr>
      <w:r>
        <w:t>Document the measurement physics and determine whether the existing DPIReconstructionAdapter can ingest it directly.</w:t>
      </w:r>
    </w:p>
    <w:p>
      <w:pPr>
        <w:pStyle w:val="ListNumber"/>
      </w:pPr>
      <w:r>
        <w:t>Add a dataset-specific adapter only if needed; preserve the common MeasurementTwinPlatform contracts.</w:t>
      </w:r>
    </w:p>
    <w:p>
      <w:pPr>
        <w:pStyle w:val="ListNumber"/>
      </w:pPr>
      <w:r>
        <w:t>Run reconstruction against ground truth with explicit amplitude, phase, structural, and geometric error metrics.</w:t>
      </w:r>
    </w:p>
    <w:p>
      <w:pPr>
        <w:pStyle w:val="ListNumber"/>
      </w:pPr>
      <w:r>
        <w:t>Add the result to validation/platform_report.py using the existing evidence-status vocabulary.</w:t>
      </w:r>
    </w:p>
    <w:p>
      <w:pPr>
        <w:pStyle w:val="ListNumber"/>
      </w:pPr>
      <w:r>
        <w:t>Keep real-data claims distinct from synthetic matched-model claims.</w:t>
      </w:r>
    </w:p>
    <w:p>
      <w:pPr>
        <w:pStyle w:val="Heading1"/>
      </w:pPr>
      <w:r>
        <w:t>15. Final Checkpoint Statement</w:t>
      </w:r>
    </w:p>
    <w:p>
      <w:r>
        <w:rPr>
          <w:b/>
        </w:rPr>
        <w:t>QMS Platform v0.1.0 is a functioning multi-modality measurement-twin research platform with demonstrated synthetic optical and MRI reconstruction paths, unified observability/dynamics, persistence/replay, real single-photon detector ingestion, statistically tested real spatial information, explicit negative temporal results, and a formal evidence registry. The principal unresolved scientific objective is real phase-aware upstream DPI reconstruction against experimental ground truth.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