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Detector-Plane Imaging (DPI): Camera-Back Physics and Imprint-Field Dynamics</w:t>
      </w:r>
    </w:p>
    <w:p>
      <w:r>
        <w:t>Author: Srikar R.</w:t>
        <w:br/>
        <w:t>Date: December 2025</w:t>
      </w:r>
    </w:p>
    <w:p>
      <w:pPr>
        <w:pStyle w:val="Heading2"/>
      </w:pPr>
      <w:r>
        <w:t>Abstract</w:t>
      </w:r>
    </w:p>
    <w:p>
      <w:r>
        <w:t>DPI provides a measurement-plane method for imaging nonlinear field coherence directly on the detector surface. Using φ⁴ field dynamics, we demonstrate coherent ring formation, oscillon breathing, accumulated-intensity buildup, and coherence-dependent double‑slit interference. These effects map naturally onto established optical measurements. DPI reframes the detector plane as an active coherence-imaging boundary.</w:t>
      </w:r>
    </w:p>
    <w:p>
      <w:pPr>
        <w:pStyle w:val="Heading2"/>
      </w:pPr>
      <w:r>
        <w:t>1. Introduction</w:t>
      </w:r>
    </w:p>
    <w:p>
      <w:r>
        <w:t>DPI interprets detector‑plane intensity patterns as imprint fields encoding coherence evolution.</w:t>
      </w:r>
    </w:p>
    <w:p>
      <w:pPr>
        <w:pStyle w:val="Heading2"/>
      </w:pPr>
      <w:r>
        <w:t>2. Field Model and Equations</w:t>
      </w:r>
    </w:p>
    <w:p>
      <w:r>
        <w:t>Key governing equations:</w:t>
      </w:r>
    </w:p>
    <w:p>
      <w:r>
        <w:t>• φ⁴ dynamics:  ∂²φ/∂t² = ∇²φ + m²φ − λφ³</w:t>
      </w:r>
    </w:p>
    <w:p>
      <w:r>
        <w:t>• Detector intensity:  I(x,y,t) = φ²</w:t>
      </w:r>
    </w:p>
    <w:p>
      <w:r>
        <w:t>• Far‑field transform:  F(k) = |FFT{I(x,y)}|²</w:t>
      </w:r>
    </w:p>
    <w:p>
      <w:r>
        <w:t>• Coherence length: ξ defined via 1/e decay of spectral peak</w:t>
      </w:r>
    </w:p>
    <w:p>
      <w:r>
        <w:t>• Oscillon width: σ = sqrt(&lt;r²&gt;)</w:t>
      </w:r>
    </w:p>
    <w:p>
      <w:pPr>
        <w:pStyle w:val="Heading2"/>
      </w:pPr>
      <w:r>
        <w:t>3. Results</w:t>
      </w:r>
    </w:p>
    <w:p>
      <w:pPr>
        <w:pStyle w:val="Heading3"/>
      </w:pPr>
      <w:r>
        <w:t>Figure 1. Imprint Field Evolution</w:t>
      </w:r>
    </w:p>
    <w:p>
      <w:r>
        <w:drawing>
          <wp:inline xmlns:a="http://schemas.openxmlformats.org/drawingml/2006/main" xmlns:pic="http://schemas.openxmlformats.org/drawingml/2006/picture">
            <wp:extent cx="5486400" cy="1425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I Imprint Evol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5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Coherent-ring emergence, peak‑contrast phase, and decoherence onset.</w:t>
      </w:r>
    </w:p>
    <w:p>
      <w:pPr>
        <w:pStyle w:val="Heading3"/>
      </w:pPr>
      <w:r>
        <w:t>Figure 2. Accumulated Intensity Buildup</w:t>
      </w:r>
    </w:p>
    <w:p>
      <w:r>
        <w:drawing>
          <wp:inline xmlns:a="http://schemas.openxmlformats.org/drawingml/2006/main" xmlns:pic="http://schemas.openxmlformats.org/drawingml/2006/picture">
            <wp:extent cx="5486400" cy="1425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 Accumulated Intens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5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Progressive accumulation revealing stable imprint‑field structure.</w:t>
      </w:r>
    </w:p>
    <w:p>
      <w:pPr>
        <w:pStyle w:val="Heading3"/>
      </w:pPr>
      <w:r>
        <w:t>Figure 3. DPI Double‑Slit Illumination</w:t>
      </w:r>
    </w:p>
    <w:p>
      <w:r>
        <w:drawing>
          <wp:inline xmlns:a="http://schemas.openxmlformats.org/drawingml/2006/main" xmlns:pic="http://schemas.openxmlformats.org/drawingml/2006/picture">
            <wp:extent cx="5486400" cy="5192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uble-Slit Illumination and Interference Visi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2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Coherent and decoherent far‑field patterns derived from DPI illumination.</w:t>
      </w:r>
    </w:p>
    <w:p>
      <w:pPr>
        <w:pStyle w:val="Heading3"/>
      </w:pPr>
      <w:r>
        <w:t>Figure 4. Quantitative Diagnostics</w:t>
      </w:r>
    </w:p>
    <w:p>
      <w:r>
        <w:drawing>
          <wp:inline xmlns:a="http://schemas.openxmlformats.org/drawingml/2006/main" xmlns:pic="http://schemas.openxmlformats.org/drawingml/2006/picture">
            <wp:extent cx="5486400" cy="52368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itative Diagnost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6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 ξ(t), σ(t), Fourier‑space coherence S(k), and far‑field cross‑sections.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