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1A3A6B"/>
        </w:rPr>
        <w:t>Detector Coherence Transfer in Quantum </w:t>
      </w:r>
      <w:r>
        <w:rPr>
          <w:color w:val="1A3A6B"/>
          <w:spacing w:val="-2"/>
        </w:rPr>
        <w:t>Measurement:</w:t>
      </w:r>
    </w:p>
    <w:p>
      <w:pPr>
        <w:spacing w:before="139"/>
        <w:ind w:left="0" w:right="0" w:firstLine="0"/>
        <w:jc w:val="center"/>
        <w:rPr>
          <w:i/>
          <w:sz w:val="26"/>
        </w:rPr>
      </w:pPr>
      <w:r>
        <w:rPr>
          <w:i/>
          <w:color w:val="2D6DB3"/>
          <w:sz w:val="26"/>
        </w:rPr>
        <w:t>A Benchmark Framework via Detector-Plane Imaging and </w:t>
      </w:r>
      <w:r>
        <w:rPr>
          <w:i/>
          <w:color w:val="2D6DB3"/>
          <w:spacing w:val="-2"/>
          <w:sz w:val="26"/>
        </w:rPr>
        <w:t>QMCTB</w:t>
      </w:r>
    </w:p>
    <w:p>
      <w:pPr>
        <w:spacing w:before="258"/>
        <w:ind w:left="0" w:right="0" w:firstLine="0"/>
        <w:jc w:val="center"/>
        <w:rPr>
          <w:i/>
          <w:sz w:val="22"/>
        </w:rPr>
      </w:pPr>
      <w:r>
        <w:rPr>
          <w:i/>
          <w:color w:val="333333"/>
          <w:sz w:val="22"/>
        </w:rPr>
        <w:t>Srikar </w:t>
      </w:r>
      <w:r>
        <w:rPr>
          <w:i/>
          <w:color w:val="333333"/>
          <w:spacing w:val="-5"/>
          <w:sz w:val="22"/>
        </w:rPr>
        <w:t>R.</w:t>
      </w:r>
    </w:p>
    <w:p>
      <w:pPr>
        <w:spacing w:line="324" w:lineRule="auto" w:before="25"/>
        <w:ind w:left="3995" w:right="3993" w:firstLine="0"/>
        <w:jc w:val="center"/>
        <w:rPr>
          <w:i/>
          <w:sz w:val="18"/>
        </w:rPr>
      </w:pPr>
      <w:r>
        <w:rPr>
          <w:color w:val="545454"/>
          <w:sz w:val="18"/>
        </w:rPr>
        <w:t>Independent Researcher Hyderabad,</w:t>
      </w:r>
      <w:r>
        <w:rPr>
          <w:color w:val="545454"/>
          <w:spacing w:val="-12"/>
          <w:sz w:val="18"/>
        </w:rPr>
        <w:t> </w:t>
      </w:r>
      <w:r>
        <w:rPr>
          <w:color w:val="545454"/>
          <w:sz w:val="18"/>
        </w:rPr>
        <w:t>Telangana,</w:t>
      </w:r>
      <w:r>
        <w:rPr>
          <w:color w:val="545454"/>
          <w:spacing w:val="-11"/>
          <w:sz w:val="18"/>
        </w:rPr>
        <w:t> </w:t>
      </w:r>
      <w:r>
        <w:rPr>
          <w:color w:val="545454"/>
          <w:sz w:val="18"/>
        </w:rPr>
        <w:t>India </w:t>
      </w:r>
      <w:hyperlink r:id="rId5">
        <w:r>
          <w:rPr>
            <w:color w:val="545454"/>
            <w:spacing w:val="-2"/>
            <w:sz w:val="18"/>
          </w:rPr>
          <w:t>r.srikar.30@gmail.com</w:t>
        </w:r>
      </w:hyperlink>
      <w:r>
        <w:rPr>
          <w:color w:val="545454"/>
          <w:spacing w:val="-2"/>
          <w:sz w:val="18"/>
        </w:rPr>
        <w:t> </w:t>
      </w:r>
      <w:r>
        <w:rPr>
          <w:i/>
          <w:color w:val="878787"/>
          <w:sz w:val="18"/>
        </w:rPr>
        <w:t>March 2026</w:t>
      </w:r>
    </w:p>
    <w:p>
      <w:pPr>
        <w:pStyle w:val="BodyText"/>
        <w:spacing w:before="66"/>
        <w:rPr>
          <w:i/>
        </w:rPr>
      </w:pPr>
      <w:r>
        <w:rPr>
          <w:i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990600</wp:posOffset>
                </wp:positionH>
                <wp:positionV relativeFrom="paragraph">
                  <wp:posOffset>203439</wp:posOffset>
                </wp:positionV>
                <wp:extent cx="579120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791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0">
                              <a:moveTo>
                                <a:pt x="0" y="0"/>
                              </a:moveTo>
                              <a:lnTo>
                                <a:pt x="57912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pt;margin-top:16.018848pt;width:456pt;height:.1pt;mso-position-horizontal-relative:page;mso-position-vertical-relative:paragraph;z-index:-15728640;mso-wrap-distance-left:0;mso-wrap-distance-right:0" id="docshape1" coordorigin="1560,320" coordsize="9120,0" path="m1560,320l10680,320e" filled="false" stroked="true" strokeweight=".5pt" strokecolor="#cccccc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169"/>
        <w:ind w:left="480" w:right="0" w:firstLine="0"/>
        <w:jc w:val="left"/>
        <w:rPr>
          <w:b/>
          <w:sz w:val="22"/>
        </w:rPr>
      </w:pPr>
      <w:r>
        <w:rPr>
          <w:b/>
          <w:color w:val="1A3A6B"/>
          <w:spacing w:val="-2"/>
          <w:sz w:val="22"/>
        </w:rPr>
        <w:t>Abstract</w:t>
      </w:r>
    </w:p>
    <w:p>
      <w:pPr>
        <w:spacing w:line="307" w:lineRule="auto" w:before="65"/>
        <w:ind w:left="840" w:right="838" w:firstLine="0"/>
        <w:jc w:val="both"/>
        <w:rPr>
          <w:i/>
          <w:sz w:val="19"/>
        </w:rPr>
      </w:pPr>
      <w:r>
        <w:rPr>
          <w:i/>
          <w:sz w:val="19"/>
        </w:rPr>
        <w:t>We</w:t>
      </w:r>
      <w:r>
        <w:rPr>
          <w:i/>
          <w:spacing w:val="40"/>
          <w:sz w:val="19"/>
        </w:rPr>
        <w:t> </w:t>
      </w:r>
      <w:r>
        <w:rPr>
          <w:i/>
          <w:sz w:val="19"/>
        </w:rPr>
        <w:t>present</w:t>
      </w:r>
      <w:r>
        <w:rPr>
          <w:i/>
          <w:spacing w:val="40"/>
          <w:sz w:val="19"/>
        </w:rPr>
        <w:t> </w:t>
      </w:r>
      <w:r>
        <w:rPr>
          <w:i/>
          <w:sz w:val="19"/>
        </w:rPr>
        <w:t>a</w:t>
      </w:r>
      <w:r>
        <w:rPr>
          <w:i/>
          <w:spacing w:val="40"/>
          <w:sz w:val="19"/>
        </w:rPr>
        <w:t> </w:t>
      </w:r>
      <w:r>
        <w:rPr>
          <w:i/>
          <w:sz w:val="19"/>
        </w:rPr>
        <w:t>unified,</w:t>
      </w:r>
      <w:r>
        <w:rPr>
          <w:i/>
          <w:spacing w:val="40"/>
          <w:sz w:val="19"/>
        </w:rPr>
        <w:t> </w:t>
      </w:r>
      <w:r>
        <w:rPr>
          <w:i/>
          <w:sz w:val="19"/>
        </w:rPr>
        <w:t>instrumentation-grounded</w:t>
      </w:r>
      <w:r>
        <w:rPr>
          <w:i/>
          <w:spacing w:val="40"/>
          <w:sz w:val="19"/>
        </w:rPr>
        <w:t> </w:t>
      </w:r>
      <w:r>
        <w:rPr>
          <w:i/>
          <w:sz w:val="19"/>
        </w:rPr>
        <w:t>framework</w:t>
      </w:r>
      <w:r>
        <w:rPr>
          <w:i/>
          <w:spacing w:val="40"/>
          <w:sz w:val="19"/>
        </w:rPr>
        <w:t> </w:t>
      </w:r>
      <w:r>
        <w:rPr>
          <w:i/>
          <w:sz w:val="19"/>
        </w:rPr>
        <w:t>for</w:t>
      </w:r>
      <w:r>
        <w:rPr>
          <w:i/>
          <w:spacing w:val="40"/>
          <w:sz w:val="19"/>
        </w:rPr>
        <w:t> </w:t>
      </w:r>
      <w:r>
        <w:rPr>
          <w:i/>
          <w:sz w:val="19"/>
        </w:rPr>
        <w:t>quantum</w:t>
      </w:r>
      <w:r>
        <w:rPr>
          <w:i/>
          <w:spacing w:val="40"/>
          <w:sz w:val="19"/>
        </w:rPr>
        <w:t> </w:t>
      </w:r>
      <w:r>
        <w:rPr>
          <w:i/>
          <w:sz w:val="19"/>
        </w:rPr>
        <w:t>measurement</w:t>
      </w:r>
      <w:r>
        <w:rPr>
          <w:i/>
          <w:spacing w:val="40"/>
          <w:sz w:val="19"/>
        </w:rPr>
        <w:t> </w:t>
      </w:r>
      <w:r>
        <w:rPr>
          <w:i/>
          <w:sz w:val="19"/>
        </w:rPr>
        <w:t>based</w:t>
      </w:r>
      <w:r>
        <w:rPr>
          <w:i/>
          <w:spacing w:val="40"/>
          <w:sz w:val="19"/>
        </w:rPr>
        <w:t> </w:t>
      </w:r>
      <w:r>
        <w:rPr>
          <w:i/>
          <w:sz w:val="19"/>
        </w:rPr>
        <w:t>on Detector-Plane Imaging (DPI) and two reproducible benchmarks: QMCTB-01 (detector-plane causality) and QMCTB-02 (detector coherence transfer function). The framework treats quantum measurement as a</w:t>
      </w:r>
      <w:r>
        <w:rPr>
          <w:i/>
          <w:spacing w:val="40"/>
          <w:sz w:val="19"/>
        </w:rPr>
        <w:t> </w:t>
      </w:r>
      <w:r>
        <w:rPr>
          <w:i/>
          <w:sz w:val="19"/>
        </w:rPr>
        <w:t>detector-defined selection process in which interference visibility is governed by detector-plane coherence preservation rather than intrinsic wave-particle duality.</w:t>
      </w:r>
    </w:p>
    <w:p>
      <w:pPr>
        <w:spacing w:line="280" w:lineRule="exact" w:before="75"/>
        <w:ind w:left="840" w:right="838" w:firstLine="0"/>
        <w:jc w:val="both"/>
        <w:rPr>
          <w:i/>
          <w:sz w:val="19"/>
        </w:rPr>
      </w:pPr>
      <w:r>
        <w:rPr>
          <w:i/>
          <w:sz w:val="19"/>
        </w:rPr>
        <w:t>Wave-optics</w:t>
      </w:r>
      <w:r>
        <w:rPr>
          <w:i/>
          <w:spacing w:val="40"/>
          <w:sz w:val="19"/>
        </w:rPr>
        <w:t> </w:t>
      </w:r>
      <w:r>
        <w:rPr>
          <w:i/>
          <w:sz w:val="19"/>
        </w:rPr>
        <w:t>simulations</w:t>
      </w:r>
      <w:r>
        <w:rPr>
          <w:i/>
          <w:spacing w:val="40"/>
          <w:sz w:val="19"/>
        </w:rPr>
        <w:t> </w:t>
      </w:r>
      <w:r>
        <w:rPr>
          <w:i/>
          <w:sz w:val="19"/>
        </w:rPr>
        <w:t>with</w:t>
      </w:r>
      <w:r>
        <w:rPr>
          <w:i/>
          <w:spacing w:val="40"/>
          <w:sz w:val="19"/>
        </w:rPr>
        <w:t> </w:t>
      </w:r>
      <w:r>
        <w:rPr>
          <w:i/>
          <w:sz w:val="19"/>
        </w:rPr>
        <w:t>Fresnel</w:t>
      </w:r>
      <w:r>
        <w:rPr>
          <w:i/>
          <w:spacing w:val="40"/>
          <w:sz w:val="19"/>
        </w:rPr>
        <w:t> </w:t>
      </w:r>
      <w:r>
        <w:rPr>
          <w:i/>
          <w:sz w:val="19"/>
        </w:rPr>
        <w:t>propagation,</w:t>
      </w:r>
      <w:r>
        <w:rPr>
          <w:i/>
          <w:spacing w:val="40"/>
          <w:sz w:val="19"/>
        </w:rPr>
        <w:t> </w:t>
      </w:r>
      <w:r>
        <w:rPr>
          <w:i/>
          <w:sz w:val="19"/>
        </w:rPr>
        <w:t>per-frame</w:t>
      </w:r>
      <w:r>
        <w:rPr>
          <w:i/>
          <w:spacing w:val="40"/>
          <w:sz w:val="19"/>
        </w:rPr>
        <w:t> </w:t>
      </w:r>
      <w:r>
        <w:rPr>
          <w:i/>
          <w:sz w:val="19"/>
        </w:rPr>
        <w:t>Gaussian</w:t>
      </w:r>
      <w:r>
        <w:rPr>
          <w:i/>
          <w:spacing w:val="40"/>
          <w:sz w:val="19"/>
        </w:rPr>
        <w:t> </w:t>
      </w:r>
      <w:r>
        <w:rPr>
          <w:i/>
          <w:sz w:val="19"/>
        </w:rPr>
        <w:t>phase</w:t>
      </w:r>
      <w:r>
        <w:rPr>
          <w:i/>
          <w:spacing w:val="40"/>
          <w:sz w:val="19"/>
        </w:rPr>
        <w:t> </w:t>
      </w:r>
      <w:r>
        <w:rPr>
          <w:i/>
          <w:sz w:val="19"/>
        </w:rPr>
        <w:t>noise</w:t>
      </w:r>
      <w:r>
        <w:rPr>
          <w:i/>
          <w:spacing w:val="40"/>
          <w:sz w:val="19"/>
        </w:rPr>
        <w:t> </w:t>
      </w:r>
      <w:r>
        <w:rPr>
          <w:i/>
          <w:sz w:val="19"/>
        </w:rPr>
        <w:t>(</w:t>
      </w:r>
      <w:r>
        <w:rPr>
          <w:rFonts w:ascii="Symbol" w:hAnsi="Symbol"/>
          <w:sz w:val="19"/>
        </w:rPr>
        <w:t></w:t>
      </w:r>
      <w:r>
        <w:rPr>
          <w:spacing w:val="40"/>
          <w:sz w:val="19"/>
        </w:rPr>
        <w:t> </w:t>
      </w:r>
      <w:r>
        <w:rPr>
          <w:i/>
          <w:sz w:val="19"/>
        </w:rPr>
        <w:t>~</w:t>
      </w:r>
      <w:r>
        <w:rPr>
          <w:i/>
          <w:spacing w:val="40"/>
          <w:sz w:val="19"/>
        </w:rPr>
        <w:t> </w:t>
      </w:r>
      <w:r>
        <w:rPr>
          <w:i/>
          <w:sz w:val="19"/>
        </w:rPr>
        <w:t>N(0,</w:t>
      </w:r>
      <w:r>
        <w:rPr>
          <w:i/>
          <w:spacing w:val="40"/>
          <w:sz w:val="19"/>
        </w:rPr>
        <w:t> </w:t>
      </w:r>
      <w:r>
        <w:rPr>
          <w:rFonts w:ascii="Symbol" w:hAnsi="Symbol"/>
          <w:sz w:val="19"/>
        </w:rPr>
        <w:t></w:t>
      </w:r>
      <w:r>
        <w:rPr>
          <w:i/>
          <w:sz w:val="19"/>
          <w:vertAlign w:val="superscript"/>
        </w:rPr>
        <w:t>2</w:t>
      </w:r>
      <w:r>
        <w:rPr>
          <w:i/>
          <w:sz w:val="19"/>
          <w:vertAlign w:val="baseline"/>
        </w:rPr>
        <w:t>)), shot-noise-limited detection, and pixel binning yield V(</w:t>
      </w:r>
      <w:r>
        <w:rPr>
          <w:rFonts w:ascii="Symbol" w:hAnsi="Symbol"/>
          <w:sz w:val="19"/>
          <w:vertAlign w:val="baseline"/>
        </w:rPr>
        <w:t></w:t>
      </w:r>
      <w:r>
        <w:rPr>
          <w:i/>
          <w:sz w:val="19"/>
          <w:vertAlign w:val="baseline"/>
        </w:rPr>
        <w:t>=0) = 0.966 ± 0.002 and V(</w:t>
      </w:r>
      <w:r>
        <w:rPr>
          <w:rFonts w:ascii="Symbol" w:hAnsi="Symbol"/>
          <w:sz w:val="19"/>
          <w:vertAlign w:val="baseline"/>
        </w:rPr>
        <w:t></w:t>
      </w:r>
      <w:r>
        <w:rPr>
          <w:i/>
          <w:sz w:val="19"/>
          <w:vertAlign w:val="baseline"/>
        </w:rPr>
        <w:t>=</w:t>
      </w:r>
      <w:r>
        <w:rPr>
          <w:rFonts w:ascii="Symbol" w:hAnsi="Symbol"/>
          <w:sz w:val="19"/>
          <w:vertAlign w:val="baseline"/>
        </w:rPr>
        <w:t></w:t>
      </w:r>
      <w:r>
        <w:rPr>
          <w:i/>
          <w:sz w:val="19"/>
          <w:vertAlign w:val="baseline"/>
        </w:rPr>
        <w:t>) = 0.189 ± 0.032 (contrast</w:t>
      </w:r>
      <w:r>
        <w:rPr>
          <w:i/>
          <w:spacing w:val="12"/>
          <w:sz w:val="19"/>
          <w:vertAlign w:val="baseline"/>
        </w:rPr>
        <w:t> </w:t>
      </w:r>
      <w:r>
        <w:rPr>
          <w:i/>
          <w:sz w:val="19"/>
          <w:vertAlign w:val="baseline"/>
        </w:rPr>
        <w:t>5.1×).</w:t>
      </w:r>
      <w:r>
        <w:rPr>
          <w:i/>
          <w:spacing w:val="12"/>
          <w:sz w:val="19"/>
          <w:vertAlign w:val="baseline"/>
        </w:rPr>
        <w:t> </w:t>
      </w:r>
      <w:r>
        <w:rPr>
          <w:i/>
          <w:sz w:val="19"/>
          <w:vertAlign w:val="baseline"/>
        </w:rPr>
        <w:t>The</w:t>
      </w:r>
      <w:r>
        <w:rPr>
          <w:i/>
          <w:spacing w:val="12"/>
          <w:sz w:val="19"/>
          <w:vertAlign w:val="baseline"/>
        </w:rPr>
        <w:t> </w:t>
      </w:r>
      <w:r>
        <w:rPr>
          <w:i/>
          <w:sz w:val="19"/>
          <w:vertAlign w:val="baseline"/>
        </w:rPr>
        <w:t>QMCTB-02</w:t>
      </w:r>
      <w:r>
        <w:rPr>
          <w:i/>
          <w:spacing w:val="12"/>
          <w:sz w:val="19"/>
          <w:vertAlign w:val="baseline"/>
        </w:rPr>
        <w:t> </w:t>
      </w:r>
      <w:r>
        <w:rPr>
          <w:i/>
          <w:sz w:val="19"/>
          <w:vertAlign w:val="baseline"/>
        </w:rPr>
        <w:t>transfer</w:t>
      </w:r>
      <w:r>
        <w:rPr>
          <w:i/>
          <w:spacing w:val="12"/>
          <w:sz w:val="19"/>
          <w:vertAlign w:val="baseline"/>
        </w:rPr>
        <w:t> </w:t>
      </w:r>
      <w:r>
        <w:rPr>
          <w:i/>
          <w:sz w:val="19"/>
          <w:vertAlign w:val="baseline"/>
        </w:rPr>
        <w:t>function</w:t>
      </w:r>
      <w:r>
        <w:rPr>
          <w:i/>
          <w:spacing w:val="12"/>
          <w:sz w:val="19"/>
          <w:vertAlign w:val="baseline"/>
        </w:rPr>
        <w:t> </w:t>
      </w:r>
      <w:r>
        <w:rPr>
          <w:i/>
          <w:sz w:val="19"/>
          <w:vertAlign w:val="baseline"/>
        </w:rPr>
        <w:t>is</w:t>
      </w:r>
      <w:r>
        <w:rPr>
          <w:i/>
          <w:spacing w:val="12"/>
          <w:sz w:val="19"/>
          <w:vertAlign w:val="baseline"/>
        </w:rPr>
        <w:t> </w:t>
      </w:r>
      <w:r>
        <w:rPr>
          <w:i/>
          <w:sz w:val="19"/>
          <w:vertAlign w:val="baseline"/>
        </w:rPr>
        <w:t>well</w:t>
      </w:r>
      <w:r>
        <w:rPr>
          <w:i/>
          <w:spacing w:val="12"/>
          <w:sz w:val="19"/>
          <w:vertAlign w:val="baseline"/>
        </w:rPr>
        <w:t> </w:t>
      </w:r>
      <w:r>
        <w:rPr>
          <w:i/>
          <w:sz w:val="19"/>
          <w:vertAlign w:val="baseline"/>
        </w:rPr>
        <w:t>described</w:t>
      </w:r>
      <w:r>
        <w:rPr>
          <w:i/>
          <w:spacing w:val="12"/>
          <w:sz w:val="19"/>
          <w:vertAlign w:val="baseline"/>
        </w:rPr>
        <w:t> </w:t>
      </w:r>
      <w:r>
        <w:rPr>
          <w:i/>
          <w:sz w:val="19"/>
          <w:vertAlign w:val="baseline"/>
        </w:rPr>
        <w:t>by</w:t>
      </w:r>
      <w:r>
        <w:rPr>
          <w:i/>
          <w:spacing w:val="12"/>
          <w:sz w:val="19"/>
          <w:vertAlign w:val="baseline"/>
        </w:rPr>
        <w:t> </w:t>
      </w:r>
      <w:r>
        <w:rPr>
          <w:i/>
          <w:sz w:val="19"/>
          <w:vertAlign w:val="baseline"/>
        </w:rPr>
        <w:t>a</w:t>
      </w:r>
      <w:r>
        <w:rPr>
          <w:i/>
          <w:spacing w:val="12"/>
          <w:sz w:val="19"/>
          <w:vertAlign w:val="baseline"/>
        </w:rPr>
        <w:t> </w:t>
      </w:r>
      <w:r>
        <w:rPr>
          <w:i/>
          <w:sz w:val="19"/>
          <w:vertAlign w:val="baseline"/>
        </w:rPr>
        <w:t>logistic</w:t>
      </w:r>
      <w:r>
        <w:rPr>
          <w:i/>
          <w:spacing w:val="12"/>
          <w:sz w:val="19"/>
          <w:vertAlign w:val="baseline"/>
        </w:rPr>
        <w:t> </w:t>
      </w:r>
      <w:r>
        <w:rPr>
          <w:i/>
          <w:sz w:val="19"/>
          <w:vertAlign w:val="baseline"/>
        </w:rPr>
        <w:t>sigmoid</w:t>
      </w:r>
      <w:r>
        <w:rPr>
          <w:i/>
          <w:spacing w:val="12"/>
          <w:sz w:val="19"/>
          <w:vertAlign w:val="baseline"/>
        </w:rPr>
        <w:t> </w:t>
      </w:r>
      <w:r>
        <w:rPr>
          <w:i/>
          <w:sz w:val="19"/>
          <w:vertAlign w:val="baseline"/>
        </w:rPr>
        <w:t>with</w:t>
      </w:r>
      <w:r>
        <w:rPr>
          <w:i/>
          <w:spacing w:val="12"/>
          <w:sz w:val="19"/>
          <w:vertAlign w:val="baseline"/>
        </w:rPr>
        <w:t> </w:t>
      </w:r>
      <w:r>
        <w:rPr>
          <w:rFonts w:ascii="Symbol" w:hAnsi="Symbol"/>
          <w:sz w:val="19"/>
          <w:vertAlign w:val="baseline"/>
        </w:rPr>
        <w:t></w:t>
      </w:r>
      <w:r>
        <w:rPr>
          <w:i/>
          <w:position w:val="-9"/>
          <w:sz w:val="15"/>
          <w:vertAlign w:val="baseline"/>
        </w:rPr>
        <w:t>c</w:t>
      </w:r>
      <w:r>
        <w:rPr>
          <w:i/>
          <w:spacing w:val="21"/>
          <w:position w:val="-9"/>
          <w:sz w:val="15"/>
          <w:vertAlign w:val="baseline"/>
        </w:rPr>
        <w:t> </w:t>
      </w:r>
      <w:r>
        <w:rPr>
          <w:i/>
          <w:sz w:val="19"/>
          <w:vertAlign w:val="baseline"/>
        </w:rPr>
        <w:t>=</w:t>
      </w:r>
      <w:r>
        <w:rPr>
          <w:i/>
          <w:spacing w:val="12"/>
          <w:sz w:val="19"/>
          <w:vertAlign w:val="baseline"/>
        </w:rPr>
        <w:t> </w:t>
      </w:r>
      <w:r>
        <w:rPr>
          <w:i/>
          <w:sz w:val="19"/>
          <w:vertAlign w:val="baseline"/>
        </w:rPr>
        <w:t>2.339</w:t>
      </w:r>
      <w:r>
        <w:rPr>
          <w:i/>
          <w:spacing w:val="12"/>
          <w:sz w:val="19"/>
          <w:vertAlign w:val="baseline"/>
        </w:rPr>
        <w:t> </w:t>
      </w:r>
      <w:r>
        <w:rPr>
          <w:i/>
          <w:spacing w:val="-10"/>
          <w:sz w:val="19"/>
          <w:vertAlign w:val="baseline"/>
        </w:rPr>
        <w:t>±</w:t>
      </w:r>
    </w:p>
    <w:p>
      <w:pPr>
        <w:tabs>
          <w:tab w:pos="1522" w:val="left" w:leader="none"/>
          <w:tab w:pos="2089" w:val="left" w:leader="none"/>
          <w:tab w:pos="2428" w:val="left" w:leader="none"/>
          <w:tab w:pos="2812" w:val="left" w:leader="none"/>
          <w:tab w:pos="3399" w:val="left" w:leader="none"/>
          <w:tab w:pos="3759" w:val="left" w:leader="none"/>
          <w:tab w:pos="4394" w:val="left" w:leader="none"/>
          <w:tab w:pos="4822" w:val="left" w:leader="none"/>
          <w:tab w:pos="5206" w:val="left" w:leader="none"/>
          <w:tab w:pos="6031" w:val="left" w:leader="none"/>
          <w:tab w:pos="7109" w:val="left" w:leader="none"/>
          <w:tab w:pos="7723" w:val="left" w:leader="none"/>
          <w:tab w:pos="8105" w:val="left" w:leader="none"/>
          <w:tab w:pos="9067" w:val="left" w:leader="none"/>
        </w:tabs>
        <w:spacing w:line="307" w:lineRule="auto" w:before="47"/>
        <w:ind w:left="840" w:right="862" w:firstLine="0"/>
        <w:jc w:val="left"/>
        <w:rPr>
          <w:i/>
          <w:sz w:val="19"/>
        </w:rPr>
      </w:pPr>
      <w:r>
        <w:rPr>
          <w:i/>
          <w:spacing w:val="-2"/>
          <w:sz w:val="19"/>
        </w:rPr>
        <w:t>0.009</w:t>
      </w:r>
      <w:r>
        <w:rPr>
          <w:i/>
          <w:sz w:val="19"/>
        </w:rPr>
        <w:tab/>
      </w:r>
      <w:r>
        <w:rPr>
          <w:i/>
          <w:spacing w:val="-4"/>
          <w:sz w:val="19"/>
        </w:rPr>
        <w:t>rad,</w:t>
      </w:r>
      <w:r>
        <w:rPr>
          <w:i/>
          <w:sz w:val="19"/>
        </w:rPr>
        <w:tab/>
      </w:r>
      <w:r>
        <w:rPr>
          <w:i/>
          <w:spacing w:val="-10"/>
          <w:sz w:val="19"/>
        </w:rPr>
        <w:t>k</w:t>
      </w:r>
      <w:r>
        <w:rPr>
          <w:i/>
          <w:sz w:val="19"/>
        </w:rPr>
        <w:tab/>
      </w:r>
      <w:r>
        <w:rPr>
          <w:i/>
          <w:spacing w:val="-10"/>
          <w:sz w:val="19"/>
        </w:rPr>
        <w:t>=</w:t>
      </w:r>
      <w:r>
        <w:rPr>
          <w:i/>
          <w:sz w:val="19"/>
        </w:rPr>
        <w:tab/>
      </w:r>
      <w:r>
        <w:rPr>
          <w:i/>
          <w:spacing w:val="-4"/>
          <w:sz w:val="19"/>
        </w:rPr>
        <w:t>5.01</w:t>
      </w:r>
      <w:r>
        <w:rPr>
          <w:i/>
          <w:sz w:val="19"/>
        </w:rPr>
        <w:tab/>
      </w:r>
      <w:r>
        <w:rPr>
          <w:i/>
          <w:spacing w:val="-10"/>
          <w:sz w:val="19"/>
        </w:rPr>
        <w:t>±</w:t>
      </w:r>
      <w:r>
        <w:rPr>
          <w:i/>
          <w:sz w:val="19"/>
        </w:rPr>
        <w:tab/>
      </w:r>
      <w:r>
        <w:rPr>
          <w:i/>
          <w:spacing w:val="-2"/>
          <w:sz w:val="19"/>
        </w:rPr>
        <w:t>0.19,</w:t>
      </w:r>
      <w:r>
        <w:rPr>
          <w:i/>
          <w:sz w:val="19"/>
        </w:rPr>
        <w:tab/>
      </w:r>
      <w:r>
        <w:rPr>
          <w:i/>
          <w:spacing w:val="-6"/>
          <w:sz w:val="19"/>
        </w:rPr>
        <w:t>R²</w:t>
      </w:r>
      <w:r>
        <w:rPr>
          <w:i/>
          <w:sz w:val="19"/>
        </w:rPr>
        <w:tab/>
      </w:r>
      <w:r>
        <w:rPr>
          <w:i/>
          <w:spacing w:val="-10"/>
          <w:sz w:val="19"/>
        </w:rPr>
        <w:t>=</w:t>
      </w:r>
      <w:r>
        <w:rPr>
          <w:i/>
          <w:sz w:val="19"/>
        </w:rPr>
        <w:tab/>
      </w:r>
      <w:r>
        <w:rPr>
          <w:i/>
          <w:spacing w:val="-2"/>
          <w:sz w:val="19"/>
        </w:rPr>
        <w:t>0.9990.</w:t>
      </w:r>
      <w:r>
        <w:rPr>
          <w:i/>
          <w:sz w:val="19"/>
        </w:rPr>
        <w:tab/>
      </w:r>
      <w:r>
        <w:rPr>
          <w:i/>
          <w:spacing w:val="-2"/>
          <w:sz w:val="19"/>
        </w:rPr>
        <w:t>Simulation</w:t>
      </w:r>
      <w:r>
        <w:rPr>
          <w:i/>
          <w:sz w:val="19"/>
        </w:rPr>
        <w:tab/>
      </w:r>
      <w:r>
        <w:rPr>
          <w:i/>
          <w:spacing w:val="-4"/>
          <w:sz w:val="19"/>
        </w:rPr>
        <w:t>code</w:t>
      </w:r>
      <w:r>
        <w:rPr>
          <w:i/>
          <w:sz w:val="19"/>
        </w:rPr>
        <w:tab/>
      </w:r>
      <w:r>
        <w:rPr>
          <w:i/>
          <w:spacing w:val="-6"/>
          <w:sz w:val="19"/>
        </w:rPr>
        <w:t>is</w:t>
      </w:r>
      <w:r>
        <w:rPr>
          <w:i/>
          <w:sz w:val="19"/>
        </w:rPr>
        <w:tab/>
      </w:r>
      <w:r>
        <w:rPr>
          <w:i/>
          <w:spacing w:val="-2"/>
          <w:sz w:val="19"/>
        </w:rPr>
        <w:t>available</w:t>
      </w:r>
      <w:r>
        <w:rPr>
          <w:i/>
          <w:sz w:val="19"/>
        </w:rPr>
        <w:tab/>
      </w:r>
      <w:r>
        <w:rPr>
          <w:i/>
          <w:spacing w:val="-6"/>
          <w:sz w:val="19"/>
        </w:rPr>
        <w:t>a</w:t>
      </w:r>
      <w:r>
        <w:rPr>
          <w:i/>
          <w:spacing w:val="-6"/>
          <w:sz w:val="19"/>
        </w:rPr>
        <w:t>t</w:t>
      </w:r>
      <w:r>
        <w:rPr>
          <w:i/>
          <w:spacing w:val="-6"/>
          <w:sz w:val="19"/>
        </w:rPr>
        <w:t> </w:t>
      </w:r>
      <w:r>
        <w:rPr>
          <w:i/>
          <w:spacing w:val="-2"/>
          <w:sz w:val="19"/>
        </w:rPr>
        <w:t>https://doi.org/10.5281/zenodo.19147730.</w:t>
      </w:r>
    </w:p>
    <w:p>
      <w:pPr>
        <w:pStyle w:val="BodyText"/>
        <w:spacing w:before="7"/>
        <w:rPr>
          <w:i/>
          <w:sz w:val="11"/>
        </w:rPr>
      </w:pPr>
      <w:r>
        <w:rPr>
          <w:i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990600</wp:posOffset>
                </wp:positionH>
                <wp:positionV relativeFrom="paragraph">
                  <wp:posOffset>100601</wp:posOffset>
                </wp:positionV>
                <wp:extent cx="579120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791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0">
                              <a:moveTo>
                                <a:pt x="0" y="0"/>
                              </a:moveTo>
                              <a:lnTo>
                                <a:pt x="57912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pt;margin-top:7.921387pt;width:456pt;height:.1pt;mso-position-horizontal-relative:page;mso-position-vertical-relative:paragraph;z-index:-15728128;mso-wrap-distance-left:0;mso-wrap-distance-right:0" id="docshape2" coordorigin="1560,158" coordsize="9120,0" path="m1560,158l10680,158e" filled="false" stroked="true" strokeweight=".5pt" strokecolor="#cccccc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4"/>
        <w:rPr>
          <w:i/>
          <w:sz w:val="24"/>
        </w:rPr>
      </w:pPr>
    </w:p>
    <w:p>
      <w:pPr>
        <w:pStyle w:val="Heading1"/>
        <w:numPr>
          <w:ilvl w:val="0"/>
          <w:numId w:val="1"/>
        </w:numPr>
        <w:tabs>
          <w:tab w:pos="720" w:val="left" w:leader="none"/>
        </w:tabs>
        <w:spacing w:line="240" w:lineRule="auto" w:before="1" w:after="0"/>
        <w:ind w:left="720" w:right="0" w:hanging="240"/>
        <w:jc w:val="both"/>
      </w:pPr>
      <w:r>
        <w:rPr>
          <w:color w:val="1A3A6B"/>
          <w:spacing w:val="-2"/>
        </w:rPr>
        <w:t>Introduction</w:t>
      </w:r>
    </w:p>
    <w:p>
      <w:pPr>
        <w:pStyle w:val="BodyText"/>
        <w:spacing w:line="312" w:lineRule="auto" w:before="41"/>
        <w:ind w:left="480" w:right="478"/>
        <w:jc w:val="both"/>
      </w:pPr>
      <w:r>
        <w:rPr/>
        <w:t>Quantum</w:t>
      </w:r>
      <w:r>
        <w:rPr>
          <w:spacing w:val="-4"/>
        </w:rPr>
        <w:t> </w:t>
      </w:r>
      <w:r>
        <w:rPr/>
        <w:t>interference</w:t>
      </w:r>
      <w:r>
        <w:rPr>
          <w:spacing w:val="-4"/>
        </w:rPr>
        <w:t> </w:t>
      </w:r>
      <w:r>
        <w:rPr/>
        <w:t>experiments</w:t>
      </w:r>
      <w:r>
        <w:rPr>
          <w:spacing w:val="-4"/>
        </w:rPr>
        <w:t> </w:t>
      </w:r>
      <w:r>
        <w:rPr/>
        <w:t>have</w:t>
      </w:r>
      <w:r>
        <w:rPr>
          <w:spacing w:val="-4"/>
        </w:rPr>
        <w:t> </w:t>
      </w:r>
      <w:r>
        <w:rPr/>
        <w:t>long</w:t>
      </w:r>
      <w:r>
        <w:rPr>
          <w:spacing w:val="-4"/>
        </w:rPr>
        <w:t> </w:t>
      </w:r>
      <w:r>
        <w:rPr/>
        <w:t>been</w:t>
      </w:r>
      <w:r>
        <w:rPr>
          <w:spacing w:val="-4"/>
        </w:rPr>
        <w:t> </w:t>
      </w:r>
      <w:r>
        <w:rPr/>
        <w:t>interpreted</w:t>
      </w:r>
      <w:r>
        <w:rPr>
          <w:spacing w:val="-4"/>
        </w:rPr>
        <w:t> </w:t>
      </w:r>
      <w:r>
        <w:rPr/>
        <w:t>through</w:t>
      </w:r>
      <w:r>
        <w:rPr>
          <w:spacing w:val="-4"/>
        </w:rPr>
        <w:t> </w:t>
      </w:r>
      <w:r>
        <w:rPr/>
        <w:t>wave-particle</w:t>
      </w:r>
      <w:r>
        <w:rPr>
          <w:spacing w:val="-4"/>
        </w:rPr>
        <w:t> </w:t>
      </w:r>
      <w:r>
        <w:rPr/>
        <w:t>duality,</w:t>
      </w:r>
      <w:r>
        <w:rPr>
          <w:spacing w:val="-4"/>
        </w:rPr>
        <w:t> </w:t>
      </w:r>
      <w:r>
        <w:rPr/>
        <w:t>where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detector</w:t>
      </w:r>
      <w:r>
        <w:rPr>
          <w:spacing w:val="-4"/>
        </w:rPr>
        <w:t> </w:t>
      </w:r>
      <w:r>
        <w:rPr/>
        <w:t>is treated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passive</w:t>
      </w:r>
      <w:r>
        <w:rPr>
          <w:spacing w:val="-5"/>
        </w:rPr>
        <w:t> </w:t>
      </w:r>
      <w:r>
        <w:rPr/>
        <w:t>readout</w:t>
      </w:r>
      <w:r>
        <w:rPr>
          <w:spacing w:val="-5"/>
        </w:rPr>
        <w:t> </w:t>
      </w:r>
      <w:r>
        <w:rPr/>
        <w:t>device.</w:t>
      </w:r>
      <w:r>
        <w:rPr>
          <w:spacing w:val="-5"/>
        </w:rPr>
        <w:t> </w:t>
      </w:r>
      <w:r>
        <w:rPr/>
        <w:t>Experimental</w:t>
      </w:r>
      <w:r>
        <w:rPr>
          <w:spacing w:val="-5"/>
        </w:rPr>
        <w:t> </w:t>
      </w:r>
      <w:r>
        <w:rPr/>
        <w:t>evidence</w:t>
      </w:r>
      <w:r>
        <w:rPr>
          <w:spacing w:val="-5"/>
        </w:rPr>
        <w:t> </w:t>
      </w:r>
      <w:r>
        <w:rPr/>
        <w:t>increasingly</w:t>
      </w:r>
      <w:r>
        <w:rPr>
          <w:spacing w:val="-5"/>
        </w:rPr>
        <w:t> </w:t>
      </w:r>
      <w:r>
        <w:rPr/>
        <w:t>challenges</w:t>
      </w:r>
      <w:r>
        <w:rPr>
          <w:spacing w:val="-5"/>
        </w:rPr>
        <w:t> </w:t>
      </w:r>
      <w:r>
        <w:rPr/>
        <w:t>this</w:t>
      </w:r>
      <w:r>
        <w:rPr>
          <w:spacing w:val="-5"/>
        </w:rPr>
        <w:t> </w:t>
      </w:r>
      <w:r>
        <w:rPr/>
        <w:t>view:</w:t>
      </w:r>
      <w:r>
        <w:rPr>
          <w:spacing w:val="-5"/>
        </w:rPr>
        <w:t> </w:t>
      </w:r>
      <w:r>
        <w:rPr/>
        <w:t>detector</w:t>
      </w:r>
      <w:r>
        <w:rPr>
          <w:spacing w:val="-5"/>
        </w:rPr>
        <w:t> </w:t>
      </w:r>
      <w:r>
        <w:rPr/>
        <w:t>architecture is a primary determinant of observed interferometric quality. Recent work from the Max Planck Institute of Quantum Optics [1], NIST [2], and PsiQuantum [3] has demonstrated that detector-plane coherence properties govern</w:t>
      </w:r>
      <w:r>
        <w:rPr>
          <w:spacing w:val="-2"/>
        </w:rPr>
        <w:t> </w:t>
      </w:r>
      <w:r>
        <w:rPr/>
        <w:t>observable</w:t>
      </w:r>
      <w:r>
        <w:rPr>
          <w:spacing w:val="-2"/>
        </w:rPr>
        <w:t> </w:t>
      </w:r>
      <w:r>
        <w:rPr/>
        <w:t>visibility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photon-counting</w:t>
      </w:r>
      <w:r>
        <w:rPr>
          <w:spacing w:val="-2"/>
        </w:rPr>
        <w:t> </w:t>
      </w:r>
      <w:r>
        <w:rPr/>
        <w:t>interferometry,</w:t>
      </w:r>
      <w:r>
        <w:rPr>
          <w:spacing w:val="-2"/>
        </w:rPr>
        <w:t> </w:t>
      </w:r>
      <w:r>
        <w:rPr/>
        <w:t>quantum</w:t>
      </w:r>
      <w:r>
        <w:rPr>
          <w:spacing w:val="-2"/>
        </w:rPr>
        <w:t> </w:t>
      </w:r>
      <w:r>
        <w:rPr/>
        <w:t>communication,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integrated</w:t>
      </w:r>
      <w:r>
        <w:rPr>
          <w:spacing w:val="-2"/>
        </w:rPr>
        <w:t> </w:t>
      </w:r>
      <w:r>
        <w:rPr/>
        <w:t>photonic systems respectively.</w:t>
      </w:r>
    </w:p>
    <w:p>
      <w:pPr>
        <w:pStyle w:val="BodyText"/>
        <w:spacing w:line="312" w:lineRule="auto" w:before="126"/>
        <w:ind w:left="480" w:right="478"/>
        <w:jc w:val="both"/>
      </w:pPr>
      <w:r>
        <w:rPr/>
        <w:t>Despite this recognition, no systematic framework exists for treating detector-plane coherence preservation as a benchmarkable, hardware-defined quantity. This paper provides that framework through two </w:t>
      </w:r>
      <w:r>
        <w:rPr/>
        <w:t>reproducible benchmarks: QMCTB-01 establishes detector-plane causality; QMCTB-02 quantifies the detector coherence transfer function.</w:t>
      </w:r>
    </w:p>
    <w:p>
      <w:pPr>
        <w:spacing w:line="307" w:lineRule="auto" w:before="124"/>
        <w:ind w:left="480" w:right="478" w:firstLine="0"/>
        <w:jc w:val="both"/>
        <w:rPr>
          <w:i/>
          <w:sz w:val="19"/>
        </w:rPr>
      </w:pPr>
      <w:r>
        <w:rPr>
          <w:i/>
          <w:color w:val="444444"/>
          <w:sz w:val="19"/>
        </w:rPr>
        <w:t>Scope</w:t>
      </w:r>
      <w:r>
        <w:rPr>
          <w:i/>
          <w:color w:val="444444"/>
          <w:spacing w:val="-4"/>
          <w:sz w:val="19"/>
        </w:rPr>
        <w:t> </w:t>
      </w:r>
      <w:r>
        <w:rPr>
          <w:i/>
          <w:color w:val="444444"/>
          <w:sz w:val="19"/>
        </w:rPr>
        <w:t>note:</w:t>
      </w:r>
      <w:r>
        <w:rPr>
          <w:i/>
          <w:color w:val="444444"/>
          <w:spacing w:val="-4"/>
          <w:sz w:val="19"/>
        </w:rPr>
        <w:t> </w:t>
      </w:r>
      <w:r>
        <w:rPr>
          <w:i/>
          <w:color w:val="444444"/>
          <w:sz w:val="19"/>
        </w:rPr>
        <w:t>The</w:t>
      </w:r>
      <w:r>
        <w:rPr>
          <w:i/>
          <w:color w:val="444444"/>
          <w:spacing w:val="-4"/>
          <w:sz w:val="19"/>
        </w:rPr>
        <w:t> </w:t>
      </w:r>
      <w:r>
        <w:rPr>
          <w:i/>
          <w:color w:val="444444"/>
          <w:sz w:val="19"/>
        </w:rPr>
        <w:t>simulations</w:t>
      </w:r>
      <w:r>
        <w:rPr>
          <w:i/>
          <w:color w:val="444444"/>
          <w:spacing w:val="-4"/>
          <w:sz w:val="19"/>
        </w:rPr>
        <w:t> </w:t>
      </w:r>
      <w:r>
        <w:rPr>
          <w:i/>
          <w:color w:val="444444"/>
          <w:sz w:val="19"/>
        </w:rPr>
        <w:t>in</w:t>
      </w:r>
      <w:r>
        <w:rPr>
          <w:i/>
          <w:color w:val="444444"/>
          <w:spacing w:val="-4"/>
          <w:sz w:val="19"/>
        </w:rPr>
        <w:t> </w:t>
      </w:r>
      <w:r>
        <w:rPr>
          <w:i/>
          <w:color w:val="444444"/>
          <w:sz w:val="19"/>
        </w:rPr>
        <w:t>this</w:t>
      </w:r>
      <w:r>
        <w:rPr>
          <w:i/>
          <w:color w:val="444444"/>
          <w:spacing w:val="-4"/>
          <w:sz w:val="19"/>
        </w:rPr>
        <w:t> </w:t>
      </w:r>
      <w:r>
        <w:rPr>
          <w:i/>
          <w:color w:val="444444"/>
          <w:sz w:val="19"/>
        </w:rPr>
        <w:t>work</w:t>
      </w:r>
      <w:r>
        <w:rPr>
          <w:i/>
          <w:color w:val="444444"/>
          <w:spacing w:val="-4"/>
          <w:sz w:val="19"/>
        </w:rPr>
        <w:t> </w:t>
      </w:r>
      <w:r>
        <w:rPr>
          <w:i/>
          <w:color w:val="444444"/>
          <w:sz w:val="19"/>
        </w:rPr>
        <w:t>are</w:t>
      </w:r>
      <w:r>
        <w:rPr>
          <w:i/>
          <w:color w:val="444444"/>
          <w:spacing w:val="-4"/>
          <w:sz w:val="19"/>
        </w:rPr>
        <w:t> </w:t>
      </w:r>
      <w:r>
        <w:rPr>
          <w:i/>
          <w:color w:val="444444"/>
          <w:sz w:val="19"/>
        </w:rPr>
        <w:t>classical</w:t>
      </w:r>
      <w:r>
        <w:rPr>
          <w:i/>
          <w:color w:val="444444"/>
          <w:spacing w:val="-4"/>
          <w:sz w:val="19"/>
        </w:rPr>
        <w:t> </w:t>
      </w:r>
      <w:r>
        <w:rPr>
          <w:i/>
          <w:color w:val="444444"/>
          <w:sz w:val="19"/>
        </w:rPr>
        <w:t>wave-optics</w:t>
      </w:r>
      <w:r>
        <w:rPr>
          <w:i/>
          <w:color w:val="444444"/>
          <w:spacing w:val="-4"/>
          <w:sz w:val="19"/>
        </w:rPr>
        <w:t> </w:t>
      </w:r>
      <w:r>
        <w:rPr>
          <w:i/>
          <w:color w:val="444444"/>
          <w:sz w:val="19"/>
        </w:rPr>
        <w:t>models</w:t>
      </w:r>
      <w:r>
        <w:rPr>
          <w:i/>
          <w:color w:val="444444"/>
          <w:spacing w:val="-4"/>
          <w:sz w:val="19"/>
        </w:rPr>
        <w:t> </w:t>
      </w:r>
      <w:r>
        <w:rPr>
          <w:i/>
          <w:color w:val="444444"/>
          <w:sz w:val="19"/>
        </w:rPr>
        <w:t>using</w:t>
      </w:r>
      <w:r>
        <w:rPr>
          <w:i/>
          <w:color w:val="444444"/>
          <w:spacing w:val="-4"/>
          <w:sz w:val="19"/>
        </w:rPr>
        <w:t> </w:t>
      </w:r>
      <w:r>
        <w:rPr>
          <w:i/>
          <w:color w:val="444444"/>
          <w:sz w:val="19"/>
        </w:rPr>
        <w:t>Fresnel</w:t>
      </w:r>
      <w:r>
        <w:rPr>
          <w:i/>
          <w:color w:val="444444"/>
          <w:spacing w:val="-4"/>
          <w:sz w:val="19"/>
        </w:rPr>
        <w:t> </w:t>
      </w:r>
      <w:r>
        <w:rPr>
          <w:i/>
          <w:color w:val="444444"/>
          <w:sz w:val="19"/>
        </w:rPr>
        <w:t>propagation.</w:t>
      </w:r>
      <w:r>
        <w:rPr>
          <w:i/>
          <w:color w:val="444444"/>
          <w:spacing w:val="-4"/>
          <w:sz w:val="19"/>
        </w:rPr>
        <w:t> </w:t>
      </w:r>
      <w:r>
        <w:rPr>
          <w:i/>
          <w:color w:val="444444"/>
          <w:sz w:val="19"/>
        </w:rPr>
        <w:t>No</w:t>
      </w:r>
      <w:r>
        <w:rPr>
          <w:i/>
          <w:color w:val="444444"/>
          <w:spacing w:val="-4"/>
          <w:sz w:val="19"/>
        </w:rPr>
        <w:t> </w:t>
      </w:r>
      <w:r>
        <w:rPr>
          <w:i/>
          <w:color w:val="444444"/>
          <w:sz w:val="19"/>
        </w:rPr>
        <w:t>quantum</w:t>
      </w:r>
      <w:r>
        <w:rPr>
          <w:i/>
          <w:color w:val="444444"/>
          <w:spacing w:val="-4"/>
          <w:sz w:val="19"/>
        </w:rPr>
        <w:t> </w:t>
      </w:r>
      <w:r>
        <w:rPr>
          <w:i/>
          <w:color w:val="444444"/>
          <w:sz w:val="19"/>
        </w:rPr>
        <w:t>field theory</w:t>
      </w:r>
      <w:r>
        <w:rPr>
          <w:i/>
          <w:color w:val="444444"/>
          <w:spacing w:val="-3"/>
          <w:sz w:val="19"/>
        </w:rPr>
        <w:t> </w:t>
      </w:r>
      <w:r>
        <w:rPr>
          <w:i/>
          <w:color w:val="444444"/>
          <w:sz w:val="19"/>
        </w:rPr>
        <w:t>simulation</w:t>
      </w:r>
      <w:r>
        <w:rPr>
          <w:i/>
          <w:color w:val="444444"/>
          <w:spacing w:val="-3"/>
          <w:sz w:val="19"/>
        </w:rPr>
        <w:t> </w:t>
      </w:r>
      <w:r>
        <w:rPr>
          <w:i/>
          <w:color w:val="444444"/>
          <w:sz w:val="19"/>
        </w:rPr>
        <w:t>is</w:t>
      </w:r>
      <w:r>
        <w:rPr>
          <w:i/>
          <w:color w:val="444444"/>
          <w:spacing w:val="-3"/>
          <w:sz w:val="19"/>
        </w:rPr>
        <w:t> </w:t>
      </w:r>
      <w:r>
        <w:rPr>
          <w:i/>
          <w:color w:val="444444"/>
          <w:sz w:val="19"/>
        </w:rPr>
        <w:t>performed.</w:t>
      </w:r>
      <w:r>
        <w:rPr>
          <w:i/>
          <w:color w:val="444444"/>
          <w:spacing w:val="-3"/>
          <w:sz w:val="19"/>
        </w:rPr>
        <w:t> </w:t>
      </w:r>
      <w:r>
        <w:rPr>
          <w:i/>
          <w:color w:val="444444"/>
          <w:sz w:val="19"/>
        </w:rPr>
        <w:t>The</w:t>
      </w:r>
      <w:r>
        <w:rPr>
          <w:i/>
          <w:color w:val="444444"/>
          <w:spacing w:val="-3"/>
          <w:sz w:val="19"/>
        </w:rPr>
        <w:t> </w:t>
      </w:r>
      <w:r>
        <w:rPr>
          <w:i/>
          <w:color w:val="444444"/>
          <w:sz w:val="19"/>
        </w:rPr>
        <w:t>Detector-Plane</w:t>
      </w:r>
      <w:r>
        <w:rPr>
          <w:i/>
          <w:color w:val="444444"/>
          <w:spacing w:val="-3"/>
          <w:sz w:val="19"/>
        </w:rPr>
        <w:t> </w:t>
      </w:r>
      <w:r>
        <w:rPr>
          <w:i/>
          <w:color w:val="444444"/>
          <w:sz w:val="19"/>
        </w:rPr>
        <w:t>Imaging</w:t>
      </w:r>
      <w:r>
        <w:rPr>
          <w:i/>
          <w:color w:val="444444"/>
          <w:spacing w:val="-3"/>
          <w:sz w:val="19"/>
        </w:rPr>
        <w:t> </w:t>
      </w:r>
      <w:r>
        <w:rPr>
          <w:i/>
          <w:color w:val="444444"/>
          <w:sz w:val="19"/>
        </w:rPr>
        <w:t>(DPI)</w:t>
      </w:r>
      <w:r>
        <w:rPr>
          <w:i/>
          <w:color w:val="444444"/>
          <w:spacing w:val="-3"/>
          <w:sz w:val="19"/>
        </w:rPr>
        <w:t> </w:t>
      </w:r>
      <w:r>
        <w:rPr>
          <w:i/>
          <w:color w:val="444444"/>
          <w:sz w:val="19"/>
        </w:rPr>
        <w:t>[4]</w:t>
      </w:r>
      <w:r>
        <w:rPr>
          <w:i/>
          <w:color w:val="444444"/>
          <w:spacing w:val="-3"/>
          <w:sz w:val="19"/>
        </w:rPr>
        <w:t> </w:t>
      </w:r>
      <w:r>
        <w:rPr>
          <w:i/>
          <w:color w:val="444444"/>
          <w:sz w:val="19"/>
        </w:rPr>
        <w:t>and</w:t>
      </w:r>
      <w:r>
        <w:rPr>
          <w:i/>
          <w:color w:val="444444"/>
          <w:spacing w:val="-3"/>
          <w:sz w:val="19"/>
        </w:rPr>
        <w:t> </w:t>
      </w:r>
      <w:r>
        <w:rPr>
          <w:i/>
          <w:color w:val="444444"/>
          <w:sz w:val="19"/>
        </w:rPr>
        <w:t>Imprint</w:t>
      </w:r>
      <w:r>
        <w:rPr>
          <w:i/>
          <w:color w:val="444444"/>
          <w:spacing w:val="-3"/>
          <w:sz w:val="19"/>
        </w:rPr>
        <w:t> </w:t>
      </w:r>
      <w:r>
        <w:rPr>
          <w:i/>
          <w:color w:val="444444"/>
          <w:sz w:val="19"/>
        </w:rPr>
        <w:t>Hypothesis</w:t>
      </w:r>
      <w:r>
        <w:rPr>
          <w:i/>
          <w:color w:val="444444"/>
          <w:spacing w:val="-3"/>
          <w:sz w:val="19"/>
        </w:rPr>
        <w:t> </w:t>
      </w:r>
      <w:r>
        <w:rPr>
          <w:i/>
          <w:color w:val="444444"/>
          <w:sz w:val="19"/>
        </w:rPr>
        <w:t>[5]</w:t>
      </w:r>
      <w:r>
        <w:rPr>
          <w:i/>
          <w:color w:val="444444"/>
          <w:spacing w:val="-3"/>
          <w:sz w:val="19"/>
        </w:rPr>
        <w:t> </w:t>
      </w:r>
      <w:r>
        <w:rPr>
          <w:i/>
          <w:color w:val="444444"/>
          <w:sz w:val="19"/>
        </w:rPr>
        <w:t>frameworks</w:t>
      </w:r>
      <w:r>
        <w:rPr>
          <w:i/>
          <w:color w:val="444444"/>
          <w:spacing w:val="-3"/>
          <w:sz w:val="19"/>
        </w:rPr>
        <w:t> </w:t>
      </w:r>
      <w:r>
        <w:rPr>
          <w:i/>
          <w:color w:val="444444"/>
          <w:sz w:val="19"/>
        </w:rPr>
        <w:t>provide an interpretive context; results are stated in instrumentation terms throughout.</w:t>
      </w:r>
    </w:p>
    <w:p>
      <w:pPr>
        <w:pStyle w:val="BodyText"/>
        <w:spacing w:before="65"/>
        <w:rPr>
          <w:i/>
          <w:sz w:val="19"/>
        </w:rPr>
      </w:pPr>
    </w:p>
    <w:p>
      <w:pPr>
        <w:pStyle w:val="Heading1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0" w:hanging="240"/>
        <w:jc w:val="both"/>
      </w:pPr>
      <w:r>
        <w:rPr>
          <w:color w:val="1A3A6B"/>
        </w:rPr>
        <w:t>Theoretical </w:t>
      </w:r>
      <w:r>
        <w:rPr>
          <w:color w:val="1A3A6B"/>
          <w:spacing w:val="-2"/>
        </w:rPr>
        <w:t>Framework</w:t>
      </w:r>
    </w:p>
    <w:p>
      <w:pPr>
        <w:pStyle w:val="Heading2"/>
        <w:numPr>
          <w:ilvl w:val="1"/>
          <w:numId w:val="1"/>
        </w:numPr>
        <w:tabs>
          <w:tab w:pos="795" w:val="left" w:leader="none"/>
        </w:tabs>
        <w:spacing w:line="240" w:lineRule="auto" w:before="123" w:after="0"/>
        <w:ind w:left="795" w:right="0" w:hanging="315"/>
        <w:jc w:val="left"/>
      </w:pPr>
      <w:r>
        <w:rPr>
          <w:color w:val="2D6DB3"/>
        </w:rPr>
        <w:t>Detector-Plane Imaging </w:t>
      </w:r>
      <w:r>
        <w:rPr>
          <w:color w:val="2D6DB3"/>
          <w:spacing w:val="-2"/>
        </w:rPr>
        <w:t>(DPI)</w:t>
      </w:r>
    </w:p>
    <w:p>
      <w:pPr>
        <w:pStyle w:val="Heading2"/>
        <w:spacing w:after="0" w:line="240" w:lineRule="auto"/>
        <w:jc w:val="left"/>
        <w:sectPr>
          <w:type w:val="continuous"/>
          <w:pgSz w:w="12240" w:h="15840"/>
          <w:pgMar w:top="1760" w:bottom="280" w:left="1080" w:right="1080"/>
        </w:sectPr>
      </w:pPr>
    </w:p>
    <w:p>
      <w:pPr>
        <w:pStyle w:val="BodyText"/>
        <w:spacing w:line="312" w:lineRule="auto" w:before="73"/>
        <w:ind w:left="480" w:right="479"/>
        <w:jc w:val="both"/>
      </w:pPr>
      <w:r>
        <w:rPr/>
        <w:t>DPI [4] asserts that coherent field structure exists prior to detection, the detector plane defines the </w:t>
      </w:r>
      <w:r>
        <w:rPr/>
        <w:t>measurement boundary,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observable</w:t>
      </w:r>
      <w:r>
        <w:rPr>
          <w:spacing w:val="-2"/>
        </w:rPr>
        <w:t> </w:t>
      </w:r>
      <w:r>
        <w:rPr/>
        <w:t>outcomes</w:t>
      </w:r>
      <w:r>
        <w:rPr>
          <w:spacing w:val="-2"/>
        </w:rPr>
        <w:t> </w:t>
      </w:r>
      <w:r>
        <w:rPr/>
        <w:t>depend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detector</w:t>
      </w:r>
      <w:r>
        <w:rPr>
          <w:spacing w:val="-2"/>
        </w:rPr>
        <w:t> </w:t>
      </w:r>
      <w:r>
        <w:rPr/>
        <w:t>coherence</w:t>
      </w:r>
      <w:r>
        <w:rPr>
          <w:spacing w:val="-2"/>
        </w:rPr>
        <w:t> </w:t>
      </w:r>
      <w:r>
        <w:rPr/>
        <w:t>fidelity.</w:t>
      </w:r>
      <w:r>
        <w:rPr>
          <w:spacing w:val="-2"/>
        </w:rPr>
        <w:t> </w:t>
      </w:r>
      <w:r>
        <w:rPr/>
        <w:t>Interference</w:t>
      </w:r>
      <w:r>
        <w:rPr>
          <w:spacing w:val="-2"/>
        </w:rPr>
        <w:t> </w:t>
      </w:r>
      <w:r>
        <w:rPr/>
        <w:t>patterns</w:t>
      </w:r>
      <w:r>
        <w:rPr>
          <w:spacing w:val="-2"/>
        </w:rPr>
        <w:t> </w:t>
      </w:r>
      <w:r>
        <w:rPr/>
        <w:t>are</w:t>
      </w:r>
      <w:r>
        <w:rPr>
          <w:spacing w:val="-2"/>
        </w:rPr>
        <w:t> </w:t>
      </w:r>
      <w:r>
        <w:rPr/>
        <w:t>not</w:t>
      </w:r>
      <w:r>
        <w:rPr>
          <w:spacing w:val="-2"/>
        </w:rPr>
        <w:t> </w:t>
      </w:r>
      <w:r>
        <w:rPr/>
        <w:t>created</w:t>
      </w:r>
      <w:r>
        <w:rPr>
          <w:spacing w:val="-2"/>
        </w:rPr>
        <w:t> </w:t>
      </w:r>
      <w:r>
        <w:rPr/>
        <w:t>at measurement but are selected by the detector's ability to preserve phase correlations. This is supported experimentally by Pears Stefano et al. [6] at Fermilab, who demonstrated continuous fidelity degradation as detector readout noise increases.</w:t>
      </w:r>
    </w:p>
    <w:p>
      <w:pPr>
        <w:pStyle w:val="Heading2"/>
        <w:numPr>
          <w:ilvl w:val="1"/>
          <w:numId w:val="1"/>
        </w:numPr>
        <w:tabs>
          <w:tab w:pos="795" w:val="left" w:leader="none"/>
        </w:tabs>
        <w:spacing w:line="240" w:lineRule="auto" w:before="166" w:after="0"/>
        <w:ind w:left="795" w:right="0" w:hanging="315"/>
        <w:jc w:val="both"/>
      </w:pPr>
      <w:r>
        <w:rPr>
          <w:color w:val="2D6DB3"/>
        </w:rPr>
        <w:t>Quantum Measurement Stack </w:t>
      </w:r>
      <w:r>
        <w:rPr>
          <w:color w:val="2D6DB3"/>
          <w:spacing w:val="-2"/>
        </w:rPr>
        <w:t>(QMS)</w:t>
      </w:r>
    </w:p>
    <w:p>
      <w:pPr>
        <w:pStyle w:val="BodyText"/>
        <w:spacing w:line="300" w:lineRule="auto" w:before="43"/>
        <w:ind w:left="480" w:right="479"/>
        <w:jc w:val="both"/>
      </w:pPr>
      <w:r>
        <w:rPr/>
        <w:t>The QMS defines strict causal ordering: field propagation </w:t>
      </w:r>
      <w:r>
        <w:rPr>
          <w:rFonts w:ascii="Symbol" w:hAnsi="Symbol"/>
        </w:rPr>
        <w:t></w:t>
      </w:r>
      <w:r>
        <w:rPr/>
        <w:t> coherence imprint </w:t>
      </w:r>
      <w:r>
        <w:rPr>
          <w:rFonts w:ascii="Symbol" w:hAnsi="Symbol"/>
        </w:rPr>
        <w:t></w:t>
      </w:r>
      <w:r>
        <w:rPr/>
        <w:t> detector-plane selection </w:t>
      </w:r>
      <w:r>
        <w:rPr>
          <w:rFonts w:ascii="Symbol" w:hAnsi="Symbol"/>
        </w:rPr>
        <w:t></w:t>
      </w:r>
      <w:r>
        <w:rPr/>
        <w:t> pixel integration and noise </w:t>
      </w:r>
      <w:r>
        <w:rPr>
          <w:rFonts w:ascii="Symbol" w:hAnsi="Symbol"/>
        </w:rPr>
        <w:t></w:t>
      </w:r>
      <w:r>
        <w:rPr/>
        <w:t> visibility measurement. Information lost at the detector plane is irreversible; downstream processing cannot recover discarded phase correlations [7, 8].</w:t>
      </w:r>
    </w:p>
    <w:p>
      <w:pPr>
        <w:pStyle w:val="BodyText"/>
        <w:spacing w:before="67"/>
      </w:pPr>
    </w:p>
    <w:p>
      <w:pPr>
        <w:pStyle w:val="Heading1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0" w:hanging="240"/>
        <w:jc w:val="both"/>
      </w:pPr>
      <w:r>
        <w:rPr>
          <w:color w:val="1A3A6B"/>
        </w:rPr>
        <w:t>Simulation </w:t>
      </w:r>
      <w:r>
        <w:rPr>
          <w:color w:val="1A3A6B"/>
          <w:spacing w:val="-2"/>
        </w:rPr>
        <w:t>Methods</w:t>
      </w:r>
    </w:p>
    <w:p>
      <w:pPr>
        <w:pStyle w:val="Heading2"/>
        <w:numPr>
          <w:ilvl w:val="1"/>
          <w:numId w:val="1"/>
        </w:numPr>
        <w:tabs>
          <w:tab w:pos="795" w:val="left" w:leader="none"/>
        </w:tabs>
        <w:spacing w:line="240" w:lineRule="auto" w:before="122" w:after="40"/>
        <w:ind w:left="795" w:right="0" w:hanging="315"/>
        <w:jc w:val="both"/>
      </w:pPr>
      <w:r>
        <w:rPr>
          <w:color w:val="2D6DB3"/>
        </w:rPr>
        <w:t>Physical </w:t>
      </w:r>
      <w:r>
        <w:rPr>
          <w:color w:val="2D6DB3"/>
          <w:spacing w:val="-2"/>
        </w:rPr>
        <w:t>Setup</w:t>
      </w:r>
    </w:p>
    <w:tbl>
      <w:tblPr>
        <w:tblW w:w="0" w:type="auto"/>
        <w:jc w:val="left"/>
        <w:tblInd w:w="365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12"/>
        <w:gridCol w:w="2340"/>
        <w:gridCol w:w="2808"/>
      </w:tblGrid>
      <w:tr>
        <w:trPr>
          <w:trHeight w:val="430" w:hRule="atLeast"/>
        </w:trPr>
        <w:tc>
          <w:tcPr>
            <w:tcW w:w="4212" w:type="dxa"/>
            <w:shd w:val="clear" w:color="auto" w:fill="1F4D79"/>
          </w:tcPr>
          <w:p>
            <w:pPr>
              <w:pStyle w:val="TableParagraph"/>
              <w:spacing w:before="107"/>
              <w:ind w:right="1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color w:val="FFFFFF"/>
                <w:spacing w:val="-2"/>
                <w:sz w:val="18"/>
              </w:rPr>
              <w:t>Parameter</w:t>
            </w:r>
          </w:p>
        </w:tc>
        <w:tc>
          <w:tcPr>
            <w:tcW w:w="2340" w:type="dxa"/>
            <w:shd w:val="clear" w:color="auto" w:fill="1F4D79"/>
          </w:tcPr>
          <w:p>
            <w:pPr>
              <w:pStyle w:val="TableParagraph"/>
              <w:spacing w:before="107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color w:val="FFFFFF"/>
                <w:spacing w:val="-2"/>
                <w:sz w:val="18"/>
              </w:rPr>
              <w:t>Symbol</w:t>
            </w:r>
          </w:p>
        </w:tc>
        <w:tc>
          <w:tcPr>
            <w:tcW w:w="2808" w:type="dxa"/>
            <w:shd w:val="clear" w:color="auto" w:fill="1F4D79"/>
          </w:tcPr>
          <w:p>
            <w:pPr>
              <w:pStyle w:val="TableParagraph"/>
              <w:spacing w:before="107"/>
              <w:ind w:left="13" w:right="3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color w:val="FFFFFF"/>
                <w:spacing w:val="-2"/>
                <w:sz w:val="18"/>
              </w:rPr>
              <w:t>Value</w:t>
            </w:r>
          </w:p>
        </w:tc>
      </w:tr>
      <w:tr>
        <w:trPr>
          <w:trHeight w:val="430" w:hRule="atLeast"/>
        </w:trPr>
        <w:tc>
          <w:tcPr>
            <w:tcW w:w="4212" w:type="dxa"/>
            <w:shd w:val="clear" w:color="auto" w:fill="F4F7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Wavelength</w:t>
            </w:r>
          </w:p>
        </w:tc>
        <w:tc>
          <w:tcPr>
            <w:tcW w:w="2340" w:type="dxa"/>
            <w:shd w:val="clear" w:color="auto" w:fill="F4F7FB"/>
          </w:tcPr>
          <w:p>
            <w:pPr>
              <w:pStyle w:val="TableParagraph"/>
              <w:spacing w:before="94"/>
              <w:ind w:right="1"/>
              <w:rPr>
                <w:rFonts w:ascii="Symbol" w:hAnsi="Symbol"/>
                <w:sz w:val="18"/>
              </w:rPr>
            </w:pPr>
            <w:r>
              <w:rPr>
                <w:rFonts w:ascii="Symbol" w:hAnsi="Symbol"/>
                <w:spacing w:val="-10"/>
                <w:sz w:val="18"/>
              </w:rPr>
              <w:t></w:t>
            </w:r>
          </w:p>
        </w:tc>
        <w:tc>
          <w:tcPr>
            <w:tcW w:w="2808" w:type="dxa"/>
            <w:shd w:val="clear" w:color="auto" w:fill="F4F7FB"/>
          </w:tcPr>
          <w:p>
            <w:pPr>
              <w:pStyle w:val="TableParagraph"/>
              <w:ind w:left="13" w:right="3"/>
              <w:rPr>
                <w:sz w:val="18"/>
              </w:rPr>
            </w:pPr>
            <w:r>
              <w:rPr>
                <w:sz w:val="18"/>
              </w:rPr>
              <w:t>532 </w:t>
            </w:r>
            <w:r>
              <w:rPr>
                <w:spacing w:val="-5"/>
                <w:sz w:val="18"/>
              </w:rPr>
              <w:t>nm</w:t>
            </w:r>
          </w:p>
        </w:tc>
      </w:tr>
      <w:tr>
        <w:trPr>
          <w:trHeight w:val="430" w:hRule="atLeast"/>
        </w:trPr>
        <w:tc>
          <w:tcPr>
            <w:tcW w:w="421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Slit </w:t>
            </w:r>
            <w:r>
              <w:rPr>
                <w:spacing w:val="-2"/>
                <w:sz w:val="18"/>
              </w:rPr>
              <w:t>separation</w:t>
            </w:r>
          </w:p>
        </w:tc>
        <w:tc>
          <w:tcPr>
            <w:tcW w:w="234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d</w:t>
            </w:r>
          </w:p>
        </w:tc>
        <w:tc>
          <w:tcPr>
            <w:tcW w:w="2808" w:type="dxa"/>
          </w:tcPr>
          <w:p>
            <w:pPr>
              <w:pStyle w:val="TableParagraph"/>
              <w:ind w:left="13"/>
              <w:rPr>
                <w:sz w:val="18"/>
              </w:rPr>
            </w:pPr>
            <w:r>
              <w:rPr>
                <w:sz w:val="18"/>
              </w:rPr>
              <w:t>250 </w:t>
            </w:r>
            <w:r>
              <w:rPr>
                <w:spacing w:val="-5"/>
                <w:sz w:val="18"/>
              </w:rPr>
              <w:t>µm</w:t>
            </w:r>
          </w:p>
        </w:tc>
      </w:tr>
      <w:tr>
        <w:trPr>
          <w:trHeight w:val="430" w:hRule="atLeast"/>
        </w:trPr>
        <w:tc>
          <w:tcPr>
            <w:tcW w:w="4212" w:type="dxa"/>
            <w:shd w:val="clear" w:color="auto" w:fill="F4F7FB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Slit </w:t>
            </w:r>
            <w:r>
              <w:rPr>
                <w:spacing w:val="-2"/>
                <w:sz w:val="18"/>
              </w:rPr>
              <w:t>width</w:t>
            </w:r>
          </w:p>
        </w:tc>
        <w:tc>
          <w:tcPr>
            <w:tcW w:w="2340" w:type="dxa"/>
            <w:shd w:val="clear" w:color="auto" w:fill="F4F7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a</w:t>
            </w:r>
          </w:p>
        </w:tc>
        <w:tc>
          <w:tcPr>
            <w:tcW w:w="2808" w:type="dxa"/>
            <w:shd w:val="clear" w:color="auto" w:fill="F4F7FB"/>
          </w:tcPr>
          <w:p>
            <w:pPr>
              <w:pStyle w:val="TableParagraph"/>
              <w:ind w:left="13"/>
              <w:rPr>
                <w:sz w:val="18"/>
              </w:rPr>
            </w:pPr>
            <w:r>
              <w:rPr>
                <w:sz w:val="18"/>
              </w:rPr>
              <w:t>40 </w:t>
            </w:r>
            <w:r>
              <w:rPr>
                <w:spacing w:val="-5"/>
                <w:sz w:val="18"/>
              </w:rPr>
              <w:t>µm</w:t>
            </w:r>
          </w:p>
        </w:tc>
      </w:tr>
      <w:tr>
        <w:trPr>
          <w:trHeight w:val="430" w:hRule="atLeast"/>
        </w:trPr>
        <w:tc>
          <w:tcPr>
            <w:tcW w:w="421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Propagation </w:t>
            </w:r>
            <w:r>
              <w:rPr>
                <w:spacing w:val="-2"/>
                <w:sz w:val="18"/>
              </w:rPr>
              <w:t>distance</w:t>
            </w:r>
          </w:p>
        </w:tc>
        <w:tc>
          <w:tcPr>
            <w:tcW w:w="234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z</w:t>
            </w:r>
          </w:p>
        </w:tc>
        <w:tc>
          <w:tcPr>
            <w:tcW w:w="2808" w:type="dxa"/>
          </w:tcPr>
          <w:p>
            <w:pPr>
              <w:pStyle w:val="TableParagraph"/>
              <w:ind w:left="13" w:right="3"/>
              <w:rPr>
                <w:sz w:val="18"/>
              </w:rPr>
            </w:pPr>
            <w:r>
              <w:rPr>
                <w:sz w:val="18"/>
              </w:rPr>
              <w:t>5 cm </w:t>
            </w:r>
            <w:r>
              <w:rPr>
                <w:spacing w:val="-2"/>
                <w:sz w:val="18"/>
              </w:rPr>
              <w:t>(Fresnel)</w:t>
            </w:r>
          </w:p>
        </w:tc>
      </w:tr>
      <w:tr>
        <w:trPr>
          <w:trHeight w:val="430" w:hRule="atLeast"/>
        </w:trPr>
        <w:tc>
          <w:tcPr>
            <w:tcW w:w="4212" w:type="dxa"/>
            <w:shd w:val="clear" w:color="auto" w:fill="F4F7FB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Grid </w:t>
            </w:r>
            <w:r>
              <w:rPr>
                <w:spacing w:val="-4"/>
                <w:sz w:val="18"/>
              </w:rPr>
              <w:t>size</w:t>
            </w:r>
          </w:p>
        </w:tc>
        <w:tc>
          <w:tcPr>
            <w:tcW w:w="2340" w:type="dxa"/>
            <w:shd w:val="clear" w:color="auto" w:fill="F4F7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2808" w:type="dxa"/>
            <w:shd w:val="clear" w:color="auto" w:fill="F4F7FB"/>
          </w:tcPr>
          <w:p>
            <w:pPr>
              <w:pStyle w:val="TableParagraph"/>
              <w:ind w:left="13" w:right="3"/>
              <w:rPr>
                <w:sz w:val="18"/>
              </w:rPr>
            </w:pPr>
            <w:r>
              <w:rPr>
                <w:sz w:val="18"/>
              </w:rPr>
              <w:t>512 × </w:t>
            </w:r>
            <w:r>
              <w:rPr>
                <w:spacing w:val="-5"/>
                <w:sz w:val="18"/>
              </w:rPr>
              <w:t>512</w:t>
            </w:r>
          </w:p>
        </w:tc>
      </w:tr>
      <w:tr>
        <w:trPr>
          <w:trHeight w:val="430" w:hRule="atLeast"/>
        </w:trPr>
        <w:tc>
          <w:tcPr>
            <w:tcW w:w="421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Pixel </w:t>
            </w:r>
            <w:r>
              <w:rPr>
                <w:spacing w:val="-2"/>
                <w:sz w:val="18"/>
              </w:rPr>
              <w:t>binning</w:t>
            </w:r>
          </w:p>
        </w:tc>
        <w:tc>
          <w:tcPr>
            <w:tcW w:w="2340" w:type="dxa"/>
          </w:tcPr>
          <w:p>
            <w:pPr>
              <w:pStyle w:val="TableParagraph"/>
              <w:ind w:right="1"/>
              <w:rPr>
                <w:sz w:val="18"/>
              </w:rPr>
            </w:pPr>
            <w:r>
              <w:rPr>
                <w:spacing w:val="-5"/>
                <w:sz w:val="18"/>
              </w:rPr>
              <w:t>BIN</w:t>
            </w:r>
          </w:p>
        </w:tc>
        <w:tc>
          <w:tcPr>
            <w:tcW w:w="2808" w:type="dxa"/>
          </w:tcPr>
          <w:p>
            <w:pPr>
              <w:pStyle w:val="TableParagraph"/>
              <w:ind w:left="13" w:right="4"/>
              <w:rPr>
                <w:sz w:val="18"/>
              </w:rPr>
            </w:pPr>
            <w:r>
              <w:rPr>
                <w:sz w:val="18"/>
              </w:rPr>
              <w:t>4 × </w:t>
            </w:r>
            <w:r>
              <w:rPr>
                <w:spacing w:val="-10"/>
                <w:sz w:val="18"/>
              </w:rPr>
              <w:t>4</w:t>
            </w:r>
          </w:p>
        </w:tc>
      </w:tr>
      <w:tr>
        <w:trPr>
          <w:trHeight w:val="430" w:hRule="atLeast"/>
        </w:trPr>
        <w:tc>
          <w:tcPr>
            <w:tcW w:w="4212" w:type="dxa"/>
            <w:shd w:val="clear" w:color="auto" w:fill="F4F7FB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Frames per </w:t>
            </w:r>
            <w:r>
              <w:rPr>
                <w:spacing w:val="-2"/>
                <w:sz w:val="18"/>
              </w:rPr>
              <w:t>realisation</w:t>
            </w:r>
          </w:p>
        </w:tc>
        <w:tc>
          <w:tcPr>
            <w:tcW w:w="2340" w:type="dxa"/>
            <w:shd w:val="clear" w:color="auto" w:fill="F4F7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N_avg</w:t>
            </w:r>
          </w:p>
        </w:tc>
        <w:tc>
          <w:tcPr>
            <w:tcW w:w="2808" w:type="dxa"/>
            <w:shd w:val="clear" w:color="auto" w:fill="F4F7FB"/>
          </w:tcPr>
          <w:p>
            <w:pPr>
              <w:pStyle w:val="TableParagraph"/>
              <w:ind w:left="13" w:right="3"/>
              <w:rPr>
                <w:sz w:val="18"/>
              </w:rPr>
            </w:pPr>
            <w:r>
              <w:rPr>
                <w:spacing w:val="-5"/>
                <w:sz w:val="18"/>
              </w:rPr>
              <w:t>80</w:t>
            </w:r>
          </w:p>
        </w:tc>
      </w:tr>
      <w:tr>
        <w:trPr>
          <w:trHeight w:val="430" w:hRule="atLeast"/>
        </w:trPr>
        <w:tc>
          <w:tcPr>
            <w:tcW w:w="421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Independent </w:t>
            </w:r>
            <w:r>
              <w:rPr>
                <w:spacing w:val="-2"/>
                <w:sz w:val="18"/>
              </w:rPr>
              <w:t>realisations</w:t>
            </w:r>
          </w:p>
        </w:tc>
        <w:tc>
          <w:tcPr>
            <w:tcW w:w="234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N_real</w:t>
            </w:r>
          </w:p>
        </w:tc>
        <w:tc>
          <w:tcPr>
            <w:tcW w:w="2808" w:type="dxa"/>
          </w:tcPr>
          <w:p>
            <w:pPr>
              <w:pStyle w:val="TableParagraph"/>
              <w:ind w:left="13" w:right="3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</w:tr>
    </w:tbl>
    <w:p>
      <w:pPr>
        <w:spacing w:before="6"/>
        <w:ind w:left="0" w:right="0" w:firstLine="0"/>
        <w:jc w:val="center"/>
        <w:rPr>
          <w:i/>
          <w:sz w:val="17"/>
        </w:rPr>
      </w:pPr>
      <w:r>
        <w:rPr>
          <w:i/>
          <w:color w:val="444444"/>
          <w:sz w:val="17"/>
        </w:rPr>
        <w:t>Table 1. Simulation parameters (QMCTB-01 and QMCTB-</w:t>
      </w:r>
      <w:r>
        <w:rPr>
          <w:i/>
          <w:color w:val="444444"/>
          <w:spacing w:val="-4"/>
          <w:sz w:val="17"/>
        </w:rPr>
        <w:t>02).</w:t>
      </w:r>
    </w:p>
    <w:p>
      <w:pPr>
        <w:pStyle w:val="BodyText"/>
        <w:spacing w:before="0"/>
        <w:rPr>
          <w:i/>
          <w:sz w:val="17"/>
        </w:rPr>
      </w:pPr>
    </w:p>
    <w:p>
      <w:pPr>
        <w:pStyle w:val="BodyText"/>
        <w:spacing w:before="176"/>
        <w:rPr>
          <w:i/>
          <w:sz w:val="17"/>
        </w:rPr>
      </w:pPr>
    </w:p>
    <w:p>
      <w:pPr>
        <w:pStyle w:val="Heading2"/>
        <w:numPr>
          <w:ilvl w:val="1"/>
          <w:numId w:val="1"/>
        </w:numPr>
        <w:tabs>
          <w:tab w:pos="795" w:val="left" w:leader="none"/>
        </w:tabs>
        <w:spacing w:line="240" w:lineRule="auto" w:before="0" w:after="0"/>
        <w:ind w:left="795" w:right="0" w:hanging="315"/>
        <w:jc w:val="left"/>
      </w:pPr>
      <w:r>
        <w:rPr>
          <w:color w:val="2D6DB3"/>
        </w:rPr>
        <w:t>Field </w:t>
      </w:r>
      <w:r>
        <w:rPr>
          <w:color w:val="2D6DB3"/>
          <w:spacing w:val="-2"/>
        </w:rPr>
        <w:t>Propagation</w:t>
      </w:r>
    </w:p>
    <w:p>
      <w:pPr>
        <w:pStyle w:val="BodyText"/>
        <w:spacing w:line="302" w:lineRule="auto" w:before="45"/>
        <w:ind w:left="480"/>
      </w:pPr>
      <w:r>
        <w:rPr/>
        <w:t>A Gaussian TEM</w:t>
      </w:r>
      <w:r>
        <w:rPr>
          <w:rFonts w:ascii="MS Gothic" w:hAnsi="MS Gothic"/>
        </w:rPr>
        <w:t>■■</w:t>
      </w:r>
      <w:r>
        <w:rPr/>
        <w:t> source (beam waist w</w:t>
      </w:r>
      <w:r>
        <w:rPr>
          <w:rFonts w:ascii="MS Gothic" w:hAnsi="MS Gothic"/>
        </w:rPr>
        <w:t>■</w:t>
      </w:r>
      <w:r>
        <w:rPr/>
        <w:t> = 0.6 mm) is propagated through the double-slit aperture using </w:t>
      </w:r>
      <w:r>
        <w:rPr/>
        <w:t>the angular</w:t>
      </w:r>
      <w:r>
        <w:rPr>
          <w:spacing w:val="40"/>
        </w:rPr>
        <w:t> </w:t>
      </w:r>
      <w:r>
        <w:rPr/>
        <w:t>spectrum</w:t>
      </w:r>
      <w:r>
        <w:rPr>
          <w:spacing w:val="40"/>
        </w:rPr>
        <w:t> </w:t>
      </w:r>
      <w:r>
        <w:rPr/>
        <w:t>method.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far-field</w:t>
      </w:r>
      <w:r>
        <w:rPr>
          <w:spacing w:val="40"/>
        </w:rPr>
        <w:t> </w:t>
      </w:r>
      <w:r>
        <w:rPr/>
        <w:t>pattern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Fourier</w:t>
      </w:r>
      <w:r>
        <w:rPr>
          <w:spacing w:val="40"/>
        </w:rPr>
        <w:t> </w:t>
      </w:r>
      <w:r>
        <w:rPr/>
        <w:t>transform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complex</w:t>
      </w:r>
      <w:r>
        <w:rPr>
          <w:spacing w:val="40"/>
        </w:rPr>
        <w:t> </w:t>
      </w:r>
      <w:r>
        <w:rPr/>
        <w:t>field</w:t>
      </w:r>
      <w:r>
        <w:rPr>
          <w:spacing w:val="40"/>
        </w:rPr>
        <w:t> </w:t>
      </w:r>
      <w:r>
        <w:rPr/>
        <w:t>amplitude</w:t>
      </w:r>
      <w:r>
        <w:rPr>
          <w:spacing w:val="40"/>
        </w:rPr>
        <w:t> </w:t>
      </w:r>
      <w:r>
        <w:rPr/>
        <w:t>(not </w:t>
      </w:r>
      <w:r>
        <w:rPr>
          <w:spacing w:val="-2"/>
        </w:rPr>
        <w:t>intensity).</w:t>
      </w:r>
    </w:p>
    <w:p>
      <w:pPr>
        <w:pStyle w:val="Heading2"/>
        <w:numPr>
          <w:ilvl w:val="1"/>
          <w:numId w:val="1"/>
        </w:numPr>
        <w:tabs>
          <w:tab w:pos="795" w:val="left" w:leader="none"/>
        </w:tabs>
        <w:spacing w:line="240" w:lineRule="auto" w:before="171" w:after="0"/>
        <w:ind w:left="795" w:right="0" w:hanging="315"/>
        <w:jc w:val="left"/>
      </w:pPr>
      <w:r>
        <w:rPr>
          <w:color w:val="2D6DB3"/>
        </w:rPr>
        <w:t>Detector </w:t>
      </w:r>
      <w:r>
        <w:rPr>
          <w:color w:val="2D6DB3"/>
          <w:spacing w:val="-2"/>
        </w:rPr>
        <w:t>Models</w:t>
      </w:r>
    </w:p>
    <w:p>
      <w:pPr>
        <w:spacing w:before="44"/>
        <w:ind w:left="480" w:right="0" w:firstLine="0"/>
        <w:jc w:val="left"/>
        <w:rPr>
          <w:sz w:val="20"/>
        </w:rPr>
      </w:pPr>
      <w:r>
        <w:rPr>
          <w:b/>
          <w:sz w:val="20"/>
        </w:rPr>
        <w:t>Correlation-preserving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(</w:t>
      </w:r>
      <w:r>
        <w:rPr>
          <w:rFonts w:ascii="Symbol" w:hAnsi="Symbol"/>
          <w:sz w:val="20"/>
        </w:rPr>
        <w:t></w:t>
      </w:r>
      <w:r>
        <w:rPr>
          <w:spacing w:val="-1"/>
          <w:sz w:val="20"/>
        </w:rPr>
        <w:t> </w:t>
      </w:r>
      <w:r>
        <w:rPr>
          <w:b/>
          <w:sz w:val="20"/>
        </w:rPr>
        <w:t>=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0):</w:t>
      </w:r>
      <w:r>
        <w:rPr>
          <w:b/>
          <w:spacing w:val="-1"/>
          <w:sz w:val="20"/>
        </w:rPr>
        <w:t> </w:t>
      </w:r>
      <w:r>
        <w:rPr>
          <w:sz w:val="20"/>
        </w:rPr>
        <w:t>Full</w:t>
      </w:r>
      <w:r>
        <w:rPr>
          <w:spacing w:val="-1"/>
          <w:sz w:val="20"/>
        </w:rPr>
        <w:t> </w:t>
      </w:r>
      <w:r>
        <w:rPr>
          <w:sz w:val="20"/>
        </w:rPr>
        <w:t>complex</w:t>
      </w:r>
      <w:r>
        <w:rPr>
          <w:spacing w:val="-1"/>
          <w:sz w:val="20"/>
        </w:rPr>
        <w:t> </w:t>
      </w:r>
      <w:r>
        <w:rPr>
          <w:sz w:val="20"/>
        </w:rPr>
        <w:t>amplitude</w:t>
      </w:r>
      <w:r>
        <w:rPr>
          <w:spacing w:val="-1"/>
          <w:sz w:val="20"/>
        </w:rPr>
        <w:t> </w:t>
      </w:r>
      <w:r>
        <w:rPr>
          <w:sz w:val="20"/>
        </w:rPr>
        <w:t>retained.</w:t>
      </w:r>
      <w:r>
        <w:rPr>
          <w:spacing w:val="-1"/>
          <w:sz w:val="20"/>
        </w:rPr>
        <w:t> </w:t>
      </w:r>
      <w:r>
        <w:rPr>
          <w:sz w:val="20"/>
        </w:rPr>
        <w:t>Models</w:t>
      </w:r>
      <w:r>
        <w:rPr>
          <w:spacing w:val="-1"/>
          <w:sz w:val="20"/>
        </w:rPr>
        <w:t> </w:t>
      </w:r>
      <w:r>
        <w:rPr>
          <w:sz w:val="20"/>
        </w:rPr>
        <w:t>a</w:t>
      </w:r>
      <w:r>
        <w:rPr>
          <w:spacing w:val="-1"/>
          <w:sz w:val="20"/>
        </w:rPr>
        <w:t> </w:t>
      </w:r>
      <w:r>
        <w:rPr>
          <w:sz w:val="20"/>
        </w:rPr>
        <w:t>detector</w:t>
      </w:r>
      <w:r>
        <w:rPr>
          <w:spacing w:val="-1"/>
          <w:sz w:val="20"/>
        </w:rPr>
        <w:t> </w:t>
      </w:r>
      <w:r>
        <w:rPr>
          <w:sz w:val="20"/>
        </w:rPr>
        <w:t>with</w:t>
      </w:r>
      <w:r>
        <w:rPr>
          <w:spacing w:val="-1"/>
          <w:sz w:val="20"/>
        </w:rPr>
        <w:t> </w:t>
      </w:r>
      <w:r>
        <w:rPr>
          <w:sz w:val="20"/>
        </w:rPr>
        <w:t>negligible</w:t>
      </w:r>
      <w:r>
        <w:rPr>
          <w:spacing w:val="-1"/>
          <w:sz w:val="20"/>
        </w:rPr>
        <w:t> </w:t>
      </w:r>
      <w:r>
        <w:rPr>
          <w:sz w:val="20"/>
        </w:rPr>
        <w:t>phase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noise.</w:t>
      </w:r>
    </w:p>
    <w:p>
      <w:pPr>
        <w:pStyle w:val="BodyText"/>
        <w:spacing w:line="307" w:lineRule="auto" w:before="126"/>
        <w:ind w:left="480"/>
      </w:pPr>
      <w:r>
        <w:rPr>
          <w:b/>
        </w:rPr>
        <w:t>Correlation-destroying (</w:t>
      </w:r>
      <w:r>
        <w:rPr>
          <w:rFonts w:ascii="Symbol" w:hAnsi="Symbol"/>
        </w:rPr>
        <w:t></w:t>
      </w:r>
      <w:r>
        <w:rPr/>
        <w:t> </w:t>
      </w:r>
      <w:r>
        <w:rPr>
          <w:b/>
        </w:rPr>
        <w:t>&gt; 0): </w:t>
      </w:r>
      <w:r>
        <w:rPr/>
        <w:t>Per-pixel Gaussian phase noise </w:t>
      </w:r>
      <w:r>
        <w:rPr>
          <w:rFonts w:ascii="Symbol" w:hAnsi="Symbol"/>
        </w:rPr>
        <w:t></w:t>
      </w:r>
      <w:r>
        <w:rPr/>
        <w:t> ~ N(0, </w:t>
      </w:r>
      <w:r>
        <w:rPr>
          <w:rFonts w:ascii="Symbol" w:hAnsi="Symbol"/>
        </w:rPr>
        <w:t></w:t>
      </w:r>
      <w:r>
        <w:rPr>
          <w:position w:val="10"/>
          <w:sz w:val="16"/>
        </w:rPr>
        <w:t>2</w:t>
      </w:r>
      <w:r>
        <w:rPr/>
        <w:t>) applied independently per frame, spatially uncorrelated and temporally independent.</w:t>
      </w:r>
    </w:p>
    <w:p>
      <w:pPr>
        <w:pStyle w:val="Heading2"/>
        <w:numPr>
          <w:ilvl w:val="1"/>
          <w:numId w:val="1"/>
        </w:numPr>
        <w:tabs>
          <w:tab w:pos="795" w:val="left" w:leader="none"/>
        </w:tabs>
        <w:spacing w:line="240" w:lineRule="auto" w:before="167" w:after="0"/>
        <w:ind w:left="795" w:right="0" w:hanging="315"/>
        <w:jc w:val="left"/>
      </w:pPr>
      <w:r>
        <w:rPr>
          <w:color w:val="2D6DB3"/>
        </w:rPr>
        <w:t>Visibility </w:t>
      </w:r>
      <w:r>
        <w:rPr>
          <w:color w:val="2D6DB3"/>
          <w:spacing w:val="-2"/>
        </w:rPr>
        <w:t>Measurement</w:t>
      </w:r>
    </w:p>
    <w:p>
      <w:pPr>
        <w:pStyle w:val="BodyText"/>
        <w:spacing w:before="58"/>
        <w:ind w:left="480"/>
      </w:pPr>
      <w:r>
        <w:rPr/>
        <w:t>Michelson visibility over the central fringe window (central ±14% of binned </w:t>
      </w:r>
      <w:r>
        <w:rPr>
          <w:spacing w:val="-2"/>
        </w:rPr>
        <w:t>array):</w:t>
      </w:r>
    </w:p>
    <w:p>
      <w:pPr>
        <w:pStyle w:val="BodyText"/>
        <w:spacing w:before="30"/>
        <w:rPr>
          <w:sz w:val="19"/>
        </w:rPr>
      </w:pPr>
    </w:p>
    <w:p>
      <w:pPr>
        <w:tabs>
          <w:tab w:pos="2930" w:val="left" w:leader="none"/>
          <w:tab w:pos="9599" w:val="left" w:leader="none"/>
        </w:tabs>
        <w:spacing w:before="0"/>
        <w:ind w:left="480" w:right="0" w:firstLine="0"/>
        <w:jc w:val="left"/>
        <w:rPr>
          <w:rFonts w:ascii="Courier New"/>
          <w:sz w:val="19"/>
        </w:rPr>
      </w:pPr>
      <w:r>
        <w:rPr>
          <w:rFonts w:ascii="Courier New"/>
          <w:color w:val="000000"/>
          <w:sz w:val="19"/>
          <w:shd w:fill="F7F9F9" w:color="auto" w:val="clear"/>
        </w:rPr>
        <w:tab/>
        <w:t>V</w:t>
      </w:r>
      <w:r>
        <w:rPr>
          <w:rFonts w:ascii="Courier New"/>
          <w:color w:val="000000"/>
          <w:spacing w:val="-2"/>
          <w:sz w:val="19"/>
          <w:shd w:fill="F7F9F9" w:color="auto" w:val="clear"/>
        </w:rPr>
        <w:t> </w:t>
      </w:r>
      <w:r>
        <w:rPr>
          <w:rFonts w:ascii="Courier New"/>
          <w:color w:val="000000"/>
          <w:sz w:val="19"/>
          <w:shd w:fill="F7F9F9" w:color="auto" w:val="clear"/>
        </w:rPr>
        <w:t>= (I_max - I_min) / (I_max + </w:t>
      </w:r>
      <w:r>
        <w:rPr>
          <w:rFonts w:ascii="Courier New"/>
          <w:color w:val="000000"/>
          <w:spacing w:val="-2"/>
          <w:sz w:val="19"/>
          <w:shd w:fill="F7F9F9" w:color="auto" w:val="clear"/>
        </w:rPr>
        <w:t>I_min)</w:t>
      </w:r>
      <w:r>
        <w:rPr>
          <w:rFonts w:ascii="Courier New"/>
          <w:color w:val="000000"/>
          <w:sz w:val="19"/>
          <w:shd w:fill="F7F9F9" w:color="auto" w:val="clear"/>
        </w:rPr>
        <w:tab/>
      </w:r>
    </w:p>
    <w:p>
      <w:pPr>
        <w:spacing w:after="0"/>
        <w:jc w:val="left"/>
        <w:rPr>
          <w:rFonts w:ascii="Courier New"/>
          <w:sz w:val="19"/>
        </w:rPr>
        <w:sectPr>
          <w:pgSz w:w="12240" w:h="15840"/>
          <w:pgMar w:top="1500" w:bottom="280" w:left="1080" w:right="1080"/>
        </w:sectPr>
      </w:pPr>
    </w:p>
    <w:p>
      <w:pPr>
        <w:pStyle w:val="Heading2"/>
        <w:numPr>
          <w:ilvl w:val="1"/>
          <w:numId w:val="1"/>
        </w:numPr>
        <w:tabs>
          <w:tab w:pos="795" w:val="left" w:leader="none"/>
        </w:tabs>
        <w:spacing w:line="240" w:lineRule="auto" w:before="74" w:after="0"/>
        <w:ind w:left="795" w:right="0" w:hanging="315"/>
        <w:jc w:val="both"/>
      </w:pPr>
      <w:r>
        <w:rPr>
          <w:color w:val="2D6DB3"/>
        </w:rPr>
        <w:t>Sigmoid </w:t>
      </w:r>
      <w:r>
        <w:rPr>
          <w:color w:val="2D6DB3"/>
          <w:spacing w:val="-2"/>
        </w:rPr>
        <w:t>Fitting</w:t>
      </w:r>
    </w:p>
    <w:p>
      <w:pPr>
        <w:pStyle w:val="BodyText"/>
        <w:spacing w:line="302" w:lineRule="auto" w:before="44"/>
        <w:ind w:left="480" w:right="431"/>
        <w:jc w:val="both"/>
      </w:pPr>
      <w:r>
        <w:rPr/>
        <w:t>The logistic sigmoid is fitted using scipy.optimize.curve_fit with initial conditions p</w:t>
      </w:r>
      <w:r>
        <w:rPr>
          <w:rFonts w:ascii="MS Gothic" w:hAnsi="MS Gothic"/>
        </w:rPr>
        <w:t>■</w:t>
      </w:r>
      <w:r>
        <w:rPr/>
        <w:t> = [V_mean[-</w:t>
      </w:r>
      <w:r>
        <w:rPr/>
        <w:t>1], V_mean[0],</w:t>
      </w:r>
      <w:r>
        <w:rPr>
          <w:spacing w:val="-2"/>
        </w:rPr>
        <w:t> </w:t>
      </w:r>
      <w:r>
        <w:rPr/>
        <w:t>5.0,</w:t>
      </w:r>
      <w:r>
        <w:rPr>
          <w:spacing w:val="-2"/>
        </w:rPr>
        <w:t> </w:t>
      </w:r>
      <w:r>
        <w:rPr/>
        <w:t>2.0]</w:t>
      </w:r>
      <w:r>
        <w:rPr>
          <w:spacing w:val="-2"/>
        </w:rPr>
        <w:t> </w:t>
      </w:r>
      <w:r>
        <w:rPr/>
        <w:t>derived</w:t>
      </w:r>
      <w:r>
        <w:rPr>
          <w:spacing w:val="-2"/>
        </w:rPr>
        <w:t> </w:t>
      </w:r>
      <w:r>
        <w:rPr/>
        <w:t>from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data.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sigmoid</w:t>
      </w:r>
      <w:r>
        <w:rPr>
          <w:spacing w:val="-2"/>
        </w:rPr>
        <w:t> </w:t>
      </w:r>
      <w:r>
        <w:rPr/>
        <w:t>form</w:t>
      </w:r>
      <w:r>
        <w:rPr>
          <w:spacing w:val="-2"/>
        </w:rPr>
        <w:t> </w:t>
      </w:r>
      <w:r>
        <w:rPr/>
        <w:t>arises</w:t>
      </w:r>
      <w:r>
        <w:rPr>
          <w:spacing w:val="-2"/>
        </w:rPr>
        <w:t> </w:t>
      </w:r>
      <w:r>
        <w:rPr/>
        <w:t>empirically;</w:t>
      </w:r>
      <w:r>
        <w:rPr>
          <w:spacing w:val="-2"/>
        </w:rPr>
        <w:t> </w:t>
      </w:r>
      <w:r>
        <w:rPr/>
        <w:t>no</w:t>
      </w:r>
      <w:r>
        <w:rPr>
          <w:spacing w:val="-2"/>
        </w:rPr>
        <w:t> </w:t>
      </w:r>
      <w:r>
        <w:rPr/>
        <w:t>functional</w:t>
      </w:r>
      <w:r>
        <w:rPr>
          <w:spacing w:val="-2"/>
        </w:rPr>
        <w:t> </w:t>
      </w:r>
      <w:r>
        <w:rPr/>
        <w:t>form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assumed a priori.</w:t>
      </w:r>
    </w:p>
    <w:p>
      <w:pPr>
        <w:pStyle w:val="BodyText"/>
        <w:spacing w:before="64"/>
      </w:pPr>
    </w:p>
    <w:p>
      <w:pPr>
        <w:pStyle w:val="Heading1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0" w:hanging="240"/>
        <w:jc w:val="both"/>
      </w:pPr>
      <w:r>
        <w:rPr>
          <w:color w:val="1A3A6B"/>
        </w:rPr>
        <w:t>QMCTB-01: Detector-Plane Causality </w:t>
      </w:r>
      <w:r>
        <w:rPr>
          <w:color w:val="1A3A6B"/>
          <w:spacing w:val="-2"/>
        </w:rPr>
        <w:t>Benchmark</w:t>
      </w:r>
    </w:p>
    <w:p>
      <w:pPr>
        <w:pStyle w:val="BodyText"/>
        <w:spacing w:line="300" w:lineRule="auto" w:before="41"/>
        <w:ind w:left="480" w:right="479"/>
        <w:jc w:val="both"/>
      </w:pPr>
      <w:r>
        <w:rPr/>
        <w:t>QMCTB-01 isolates detector-plane behavior by holding excitation, propagation, and photon statistics </w:t>
      </w:r>
      <w:r>
        <w:rPr/>
        <w:t>constant, varying</w:t>
      </w:r>
      <w:r>
        <w:rPr>
          <w:spacing w:val="-2"/>
        </w:rPr>
        <w:t> </w:t>
      </w:r>
      <w:r>
        <w:rPr/>
        <w:t>only</w:t>
      </w:r>
      <w:r>
        <w:rPr>
          <w:spacing w:val="-2"/>
        </w:rPr>
        <w:t> </w:t>
      </w:r>
      <w:r>
        <w:rPr>
          <w:rFonts w:ascii="Symbol" w:hAnsi="Symbol"/>
        </w:rPr>
        <w:t></w:t>
      </w:r>
      <w:r>
        <w:rPr/>
        <w:t>.</w:t>
      </w:r>
      <w:r>
        <w:rPr>
          <w:spacing w:val="-2"/>
        </w:rPr>
        <w:t> </w:t>
      </w:r>
      <w:r>
        <w:rPr/>
        <w:t>V(</w:t>
      </w:r>
      <w:r>
        <w:rPr>
          <w:rFonts w:ascii="Symbol" w:hAnsi="Symbol"/>
        </w:rPr>
        <w:t></w:t>
      </w:r>
      <w:r>
        <w:rPr/>
        <w:t>=0)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0.966</w:t>
      </w:r>
      <w:r>
        <w:rPr>
          <w:spacing w:val="-2"/>
        </w:rPr>
        <w:t> </w:t>
      </w:r>
      <w:r>
        <w:rPr/>
        <w:t>±</w:t>
      </w:r>
      <w:r>
        <w:rPr>
          <w:spacing w:val="-2"/>
        </w:rPr>
        <w:t> </w:t>
      </w:r>
      <w:r>
        <w:rPr/>
        <w:t>0.002</w:t>
      </w:r>
      <w:r>
        <w:rPr>
          <w:spacing w:val="-2"/>
        </w:rPr>
        <w:t> </w:t>
      </w:r>
      <w:r>
        <w:rPr/>
        <w:t>reflects</w:t>
      </w:r>
      <w:r>
        <w:rPr>
          <w:spacing w:val="-2"/>
        </w:rPr>
        <w:t> </w:t>
      </w:r>
      <w:r>
        <w:rPr/>
        <w:t>shot-noise-limited</w:t>
      </w:r>
      <w:r>
        <w:rPr>
          <w:spacing w:val="-2"/>
        </w:rPr>
        <w:t> </w:t>
      </w:r>
      <w:r>
        <w:rPr/>
        <w:t>coherent</w:t>
      </w:r>
      <w:r>
        <w:rPr>
          <w:spacing w:val="-2"/>
        </w:rPr>
        <w:t> </w:t>
      </w:r>
      <w:r>
        <w:rPr/>
        <w:t>detection.</w:t>
      </w:r>
      <w:r>
        <w:rPr>
          <w:spacing w:val="-2"/>
        </w:rPr>
        <w:t> </w:t>
      </w:r>
      <w:r>
        <w:rPr/>
        <w:t>V(</w:t>
      </w:r>
      <w:r>
        <w:rPr>
          <w:rFonts w:ascii="Symbol" w:hAnsi="Symbol"/>
        </w:rPr>
        <w:t></w:t>
      </w:r>
      <w:r>
        <w:rPr/>
        <w:t>=</w:t>
      </w:r>
      <w:r>
        <w:rPr>
          <w:rFonts w:ascii="Symbol" w:hAnsi="Symbol"/>
        </w:rPr>
        <w:t></w:t>
      </w:r>
      <w:r>
        <w:rPr/>
        <w:t>)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0.189</w:t>
      </w:r>
      <w:r>
        <w:rPr>
          <w:spacing w:val="-2"/>
        </w:rPr>
        <w:t> </w:t>
      </w:r>
      <w:r>
        <w:rPr/>
        <w:t>±</w:t>
      </w:r>
      <w:r>
        <w:rPr>
          <w:spacing w:val="-2"/>
        </w:rPr>
        <w:t> </w:t>
      </w:r>
      <w:r>
        <w:rPr/>
        <w:t>0.032</w:t>
      </w:r>
      <w:r>
        <w:rPr>
          <w:spacing w:val="-2"/>
        </w:rPr>
        <w:t> </w:t>
      </w:r>
      <w:r>
        <w:rPr/>
        <w:t>is the finite-ensemble incoherent floor; in the limit N_avg </w:t>
      </w:r>
      <w:r>
        <w:rPr>
          <w:rFonts w:ascii="Symbol" w:hAnsi="Symbol"/>
        </w:rPr>
        <w:t></w:t>
      </w:r>
      <w:r>
        <w:rPr/>
        <w:t> </w:t>
      </w:r>
      <w:r>
        <w:rPr>
          <w:rFonts w:ascii="Symbol" w:hAnsi="Symbol"/>
        </w:rPr>
        <w:t></w:t>
      </w:r>
      <w:r>
        <w:rPr/>
        <w:t>, V_low </w:t>
      </w:r>
      <w:r>
        <w:rPr>
          <w:rFonts w:ascii="Symbol" w:hAnsi="Symbol"/>
        </w:rPr>
        <w:t></w:t>
      </w:r>
      <w:r>
        <w:rPr/>
        <w:t> 0 as phase correlations are fully </w:t>
      </w:r>
      <w:r>
        <w:rPr>
          <w:spacing w:val="-2"/>
        </w:rPr>
        <w:t>randomised.</w:t>
      </w:r>
    </w:p>
    <w:p>
      <w:pPr>
        <w:pStyle w:val="BodyText"/>
        <w:spacing w:before="11"/>
        <w:rPr>
          <w:sz w:val="9"/>
        </w:rPr>
      </w:pPr>
    </w:p>
    <w:tbl>
      <w:tblPr>
        <w:tblW w:w="0" w:type="auto"/>
        <w:jc w:val="left"/>
        <w:tblInd w:w="365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44"/>
        <w:gridCol w:w="1872"/>
        <w:gridCol w:w="1872"/>
        <w:gridCol w:w="1872"/>
      </w:tblGrid>
      <w:tr>
        <w:trPr>
          <w:trHeight w:val="430" w:hRule="atLeast"/>
        </w:trPr>
        <w:tc>
          <w:tcPr>
            <w:tcW w:w="3744" w:type="dxa"/>
            <w:shd w:val="clear" w:color="auto" w:fill="1F4D79"/>
          </w:tcPr>
          <w:p>
            <w:pPr>
              <w:pStyle w:val="TableParagraph"/>
              <w:spacing w:before="107"/>
              <w:ind w:right="1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color w:val="FFFFFF"/>
                <w:spacing w:val="-2"/>
                <w:sz w:val="18"/>
              </w:rPr>
              <w:t>Regime</w:t>
            </w:r>
          </w:p>
        </w:tc>
        <w:tc>
          <w:tcPr>
            <w:tcW w:w="1872" w:type="dxa"/>
            <w:shd w:val="clear" w:color="auto" w:fill="1F4D79"/>
          </w:tcPr>
          <w:p>
            <w:pPr>
              <w:pStyle w:val="TableParagraph"/>
              <w:spacing w:before="107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color w:val="FFFFFF"/>
                <w:sz w:val="18"/>
              </w:rPr>
              <w:t>V </w:t>
            </w:r>
            <w:r>
              <w:rPr>
                <w:rFonts w:ascii="Times New Roman"/>
                <w:b/>
                <w:color w:val="FFFFFF"/>
                <w:spacing w:val="-2"/>
                <w:sz w:val="18"/>
              </w:rPr>
              <w:t>(mean)</w:t>
            </w:r>
          </w:p>
        </w:tc>
        <w:tc>
          <w:tcPr>
            <w:tcW w:w="1872" w:type="dxa"/>
            <w:shd w:val="clear" w:color="auto" w:fill="1F4D79"/>
          </w:tcPr>
          <w:p>
            <w:pPr>
              <w:pStyle w:val="TableParagraph"/>
              <w:spacing w:before="94"/>
              <w:ind w:right="4"/>
              <w:rPr>
                <w:rFonts w:ascii="Symbol" w:hAnsi="Symbol"/>
                <w:sz w:val="18"/>
              </w:rPr>
            </w:pPr>
            <w:r>
              <w:rPr>
                <w:rFonts w:ascii="Times New Roman" w:hAnsi="Times New Roman"/>
                <w:b/>
                <w:color w:val="FFFFFF"/>
                <w:spacing w:val="-5"/>
                <w:sz w:val="18"/>
              </w:rPr>
              <w:t>±1</w:t>
            </w:r>
            <w:r>
              <w:rPr>
                <w:rFonts w:ascii="Symbol" w:hAnsi="Symbol"/>
                <w:color w:val="FFFFFF"/>
                <w:spacing w:val="-5"/>
                <w:sz w:val="18"/>
              </w:rPr>
              <w:t></w:t>
            </w:r>
          </w:p>
        </w:tc>
        <w:tc>
          <w:tcPr>
            <w:tcW w:w="1872" w:type="dxa"/>
            <w:shd w:val="clear" w:color="auto" w:fill="1F4D79"/>
          </w:tcPr>
          <w:p>
            <w:pPr>
              <w:pStyle w:val="TableParagraph"/>
              <w:spacing w:before="107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color w:val="FFFFFF"/>
                <w:spacing w:val="-2"/>
                <w:sz w:val="18"/>
              </w:rPr>
              <w:t>Status</w:t>
            </w:r>
          </w:p>
        </w:tc>
      </w:tr>
      <w:tr>
        <w:trPr>
          <w:trHeight w:val="430" w:hRule="atLeast"/>
        </w:trPr>
        <w:tc>
          <w:tcPr>
            <w:tcW w:w="3744" w:type="dxa"/>
            <w:shd w:val="clear" w:color="auto" w:fill="F4F7FB"/>
          </w:tcPr>
          <w:p>
            <w:pPr>
              <w:pStyle w:val="TableParagraph"/>
              <w:spacing w:before="94"/>
              <w:rPr>
                <w:sz w:val="18"/>
              </w:rPr>
            </w:pPr>
            <w:r>
              <w:rPr>
                <w:rFonts w:ascii="Symbol" w:hAnsi="Symbol"/>
                <w:sz w:val="18"/>
              </w:rPr>
              <w:t></w:t>
            </w:r>
            <w:r>
              <w:rPr>
                <w:rFonts w:ascii="Times New Roman" w:hAnsi="Times New Roman"/>
                <w:spacing w:val="5"/>
                <w:sz w:val="18"/>
              </w:rPr>
              <w:t> </w:t>
            </w:r>
            <w:r>
              <w:rPr>
                <w:sz w:val="18"/>
              </w:rPr>
              <w:t>= 0</w:t>
            </w:r>
            <w:r>
              <w:rPr>
                <w:spacing w:val="50"/>
                <w:sz w:val="18"/>
              </w:rPr>
              <w:t> </w:t>
            </w:r>
            <w:r>
              <w:rPr>
                <w:spacing w:val="-2"/>
                <w:sz w:val="18"/>
              </w:rPr>
              <w:t>(coherent)</w:t>
            </w:r>
          </w:p>
        </w:tc>
        <w:tc>
          <w:tcPr>
            <w:tcW w:w="1872" w:type="dxa"/>
            <w:shd w:val="clear" w:color="auto" w:fill="F4F7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0.966</w:t>
            </w:r>
          </w:p>
        </w:tc>
        <w:tc>
          <w:tcPr>
            <w:tcW w:w="1872" w:type="dxa"/>
            <w:shd w:val="clear" w:color="auto" w:fill="F4F7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0.002</w:t>
            </w:r>
          </w:p>
        </w:tc>
        <w:tc>
          <w:tcPr>
            <w:tcW w:w="1872" w:type="dxa"/>
            <w:shd w:val="clear" w:color="auto" w:fill="F4F7FB"/>
          </w:tcPr>
          <w:p>
            <w:pPr>
              <w:pStyle w:val="TableParagraph"/>
              <w:ind w:right="1"/>
              <w:rPr>
                <w:sz w:val="18"/>
              </w:rPr>
            </w:pPr>
            <w:r>
              <w:rPr>
                <w:spacing w:val="-4"/>
                <w:sz w:val="18"/>
              </w:rPr>
              <w:t>PASS</w:t>
            </w:r>
          </w:p>
        </w:tc>
      </w:tr>
      <w:tr>
        <w:trPr>
          <w:trHeight w:val="430" w:hRule="atLeast"/>
        </w:trPr>
        <w:tc>
          <w:tcPr>
            <w:tcW w:w="3744" w:type="dxa"/>
          </w:tcPr>
          <w:p>
            <w:pPr>
              <w:pStyle w:val="TableParagraph"/>
              <w:spacing w:before="94"/>
              <w:rPr>
                <w:sz w:val="18"/>
              </w:rPr>
            </w:pPr>
            <w:r>
              <w:rPr>
                <w:rFonts w:ascii="Symbol" w:hAnsi="Symbol"/>
                <w:sz w:val="18"/>
              </w:rPr>
              <w:t></w:t>
            </w:r>
            <w:r>
              <w:rPr>
                <w:rFonts w:ascii="Times New Roman" w:hAnsi="Times New Roman"/>
                <w:spacing w:val="5"/>
                <w:sz w:val="18"/>
              </w:rPr>
              <w:t> </w:t>
            </w:r>
            <w:r>
              <w:rPr>
                <w:rFonts w:ascii="Symbol" w:hAnsi="Symbol"/>
                <w:sz w:val="18"/>
              </w:rPr>
              <w:t></w:t>
            </w:r>
            <w:r>
              <w:rPr>
                <w:rFonts w:ascii="Times New Roman" w:hAnsi="Times New Roman"/>
                <w:spacing w:val="5"/>
                <w:sz w:val="18"/>
              </w:rPr>
              <w:t> </w:t>
            </w:r>
            <w:r>
              <w:rPr>
                <w:sz w:val="18"/>
              </w:rPr>
              <w:t>2.34 rad</w:t>
            </w:r>
            <w:r>
              <w:rPr>
                <w:spacing w:val="50"/>
                <w:sz w:val="18"/>
              </w:rPr>
              <w:t> </w:t>
            </w:r>
            <w:r>
              <w:rPr>
                <w:spacing w:val="-2"/>
                <w:sz w:val="18"/>
              </w:rPr>
              <w:t>(threshold)</w:t>
            </w:r>
          </w:p>
        </w:tc>
        <w:tc>
          <w:tcPr>
            <w:tcW w:w="187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0.800</w:t>
            </w:r>
          </w:p>
        </w:tc>
        <w:tc>
          <w:tcPr>
            <w:tcW w:w="187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—</w:t>
            </w:r>
          </w:p>
        </w:tc>
        <w:tc>
          <w:tcPr>
            <w:tcW w:w="187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THRESHOLD</w:t>
            </w:r>
          </w:p>
        </w:tc>
      </w:tr>
      <w:tr>
        <w:trPr>
          <w:trHeight w:val="430" w:hRule="atLeast"/>
        </w:trPr>
        <w:tc>
          <w:tcPr>
            <w:tcW w:w="3744" w:type="dxa"/>
            <w:shd w:val="clear" w:color="auto" w:fill="F4F7FB"/>
          </w:tcPr>
          <w:p>
            <w:pPr>
              <w:pStyle w:val="TableParagraph"/>
              <w:spacing w:before="94"/>
              <w:rPr>
                <w:sz w:val="18"/>
              </w:rPr>
            </w:pPr>
            <w:r>
              <w:rPr>
                <w:rFonts w:ascii="Symbol" w:hAnsi="Symbol"/>
                <w:sz w:val="18"/>
              </w:rPr>
              <w:t></w:t>
            </w:r>
            <w:r>
              <w:rPr>
                <w:rFonts w:ascii="Times New Roman" w:hAnsi="Times New Roman"/>
                <w:spacing w:val="5"/>
                <w:sz w:val="18"/>
              </w:rPr>
              <w:t> </w:t>
            </w:r>
            <w:r>
              <w:rPr>
                <w:sz w:val="18"/>
              </w:rPr>
              <w:t>= </w:t>
            </w:r>
            <w:r>
              <w:rPr>
                <w:rFonts w:ascii="Symbol" w:hAnsi="Symbol"/>
                <w:sz w:val="18"/>
              </w:rPr>
              <w:t></w:t>
            </w:r>
            <w:r>
              <w:rPr>
                <w:rFonts w:ascii="Times New Roman" w:hAnsi="Times New Roman"/>
                <w:spacing w:val="55"/>
                <w:sz w:val="18"/>
              </w:rPr>
              <w:t> </w:t>
            </w:r>
            <w:r>
              <w:rPr>
                <w:spacing w:val="-2"/>
                <w:sz w:val="18"/>
              </w:rPr>
              <w:t>(decoherent)</w:t>
            </w:r>
          </w:p>
        </w:tc>
        <w:tc>
          <w:tcPr>
            <w:tcW w:w="1872" w:type="dxa"/>
            <w:shd w:val="clear" w:color="auto" w:fill="F4F7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0.189</w:t>
            </w:r>
          </w:p>
        </w:tc>
        <w:tc>
          <w:tcPr>
            <w:tcW w:w="1872" w:type="dxa"/>
            <w:shd w:val="clear" w:color="auto" w:fill="F4F7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0.032</w:t>
            </w:r>
          </w:p>
        </w:tc>
        <w:tc>
          <w:tcPr>
            <w:tcW w:w="1872" w:type="dxa"/>
            <w:shd w:val="clear" w:color="auto" w:fill="F4F7FB"/>
          </w:tcPr>
          <w:p>
            <w:pPr>
              <w:pStyle w:val="TableParagraph"/>
              <w:ind w:right="1"/>
              <w:rPr>
                <w:sz w:val="18"/>
              </w:rPr>
            </w:pPr>
            <w:r>
              <w:rPr>
                <w:spacing w:val="-4"/>
                <w:sz w:val="18"/>
              </w:rPr>
              <w:t>FAIL</w:t>
            </w:r>
          </w:p>
        </w:tc>
      </w:tr>
    </w:tbl>
    <w:p>
      <w:pPr>
        <w:spacing w:before="6"/>
        <w:ind w:left="0" w:right="0" w:firstLine="0"/>
        <w:jc w:val="center"/>
        <w:rPr>
          <w:i/>
          <w:sz w:val="17"/>
        </w:rPr>
      </w:pPr>
      <w:r>
        <w:rPr>
          <w:i/>
          <w:color w:val="444444"/>
          <w:sz w:val="17"/>
        </w:rPr>
        <w:t>Table 2. QMCTB-01 results. Contrast ratio: 5.1×. N_avg = 80, N_real = </w:t>
      </w:r>
      <w:r>
        <w:rPr>
          <w:i/>
          <w:color w:val="444444"/>
          <w:spacing w:val="-5"/>
          <w:sz w:val="17"/>
        </w:rPr>
        <w:t>6.</w:t>
      </w:r>
    </w:p>
    <w:p>
      <w:pPr>
        <w:pStyle w:val="BodyText"/>
        <w:spacing w:before="0"/>
        <w:rPr>
          <w:i/>
          <w:sz w:val="17"/>
        </w:rPr>
      </w:pPr>
    </w:p>
    <w:p>
      <w:pPr>
        <w:pStyle w:val="BodyText"/>
        <w:spacing w:before="0"/>
        <w:rPr>
          <w:i/>
          <w:sz w:val="17"/>
        </w:rPr>
      </w:pPr>
    </w:p>
    <w:p>
      <w:pPr>
        <w:pStyle w:val="BodyText"/>
        <w:spacing w:before="103"/>
        <w:rPr>
          <w:i/>
          <w:sz w:val="17"/>
        </w:rPr>
      </w:pPr>
    </w:p>
    <w:p>
      <w:pPr>
        <w:pStyle w:val="Heading1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0" w:hanging="240"/>
        <w:jc w:val="left"/>
      </w:pPr>
      <w:r>
        <w:rPr>
          <w:color w:val="1A3A6B"/>
        </w:rPr>
        <w:t>QMCTB-02: Detector Coherence Transfer </w:t>
      </w:r>
      <w:r>
        <w:rPr>
          <w:color w:val="1A3A6B"/>
          <w:spacing w:val="-2"/>
        </w:rPr>
        <w:t>Function</w:t>
      </w:r>
    </w:p>
    <w:p>
      <w:pPr>
        <w:pStyle w:val="BodyText"/>
        <w:spacing w:line="307" w:lineRule="auto" w:before="27"/>
        <w:ind w:left="480" w:right="479"/>
        <w:jc w:val="both"/>
      </w:pPr>
      <w:r>
        <w:rPr/>
        <w:t>QMCTB-02 demonstrates that interference visibility is governed by a detector coherence transfer function </w:t>
      </w:r>
      <w:r>
        <w:rPr/>
        <w:t>V(</w:t>
      </w:r>
      <w:r>
        <w:rPr>
          <w:rFonts w:ascii="Symbol" w:hAnsi="Symbol"/>
        </w:rPr>
        <w:t></w:t>
      </w:r>
      <w:r>
        <w:rPr/>
        <w:t>), rather than being solely determined by the propagating field. The transfer function:</w:t>
      </w:r>
    </w:p>
    <w:p>
      <w:pPr>
        <w:tabs>
          <w:tab w:pos="1433" w:val="left" w:leader="none"/>
          <w:tab w:pos="9119" w:val="left" w:leader="none"/>
        </w:tabs>
        <w:spacing w:before="152"/>
        <w:ind w:left="0" w:right="0" w:firstLine="0"/>
        <w:jc w:val="center"/>
        <w:rPr>
          <w:rFonts w:ascii="Courier New" w:hAnsi="Courier New"/>
          <w:sz w:val="19"/>
        </w:rPr>
      </w:pPr>
      <w:r>
        <w:rPr>
          <w:rFonts w:ascii="Courier New" w:hAnsi="Courier New"/>
          <w:color w:val="000000"/>
          <w:sz w:val="19"/>
          <w:shd w:fill="F7F9F9" w:color="auto" w:val="clear"/>
        </w:rPr>
        <w:tab/>
        <w:t>V(</w:t>
      </w:r>
      <w:r>
        <w:rPr>
          <w:rFonts w:ascii="Symbol" w:hAnsi="Symbol"/>
          <w:color w:val="000000"/>
          <w:sz w:val="19"/>
          <w:shd w:fill="F7F9F9" w:color="auto" w:val="clear"/>
        </w:rPr>
        <w:t></w:t>
      </w:r>
      <w:r>
        <w:rPr>
          <w:rFonts w:ascii="Courier New" w:hAnsi="Courier New"/>
          <w:color w:val="000000"/>
          <w:sz w:val="19"/>
          <w:shd w:fill="F7F9F9" w:color="auto" w:val="clear"/>
        </w:rPr>
        <w:t>) = V_low + (V_high </w:t>
      </w:r>
      <w:r>
        <w:rPr>
          <w:rFonts w:ascii="Symbol" w:hAnsi="Symbol"/>
          <w:color w:val="000000"/>
          <w:sz w:val="19"/>
          <w:shd w:fill="F7F9F9" w:color="auto" w:val="clear"/>
        </w:rPr>
        <w:t></w:t>
      </w:r>
      <w:r>
        <w:rPr>
          <w:color w:val="000000"/>
          <w:spacing w:val="66"/>
          <w:sz w:val="19"/>
          <w:shd w:fill="F7F9F9" w:color="auto" w:val="clear"/>
        </w:rPr>
        <w:t> </w:t>
      </w:r>
      <w:r>
        <w:rPr>
          <w:rFonts w:ascii="Courier New" w:hAnsi="Courier New"/>
          <w:color w:val="000000"/>
          <w:sz w:val="19"/>
          <w:shd w:fill="F7F9F9" w:color="auto" w:val="clear"/>
        </w:rPr>
        <w:t>V_low) / (1 + exp[k(</w:t>
      </w:r>
      <w:r>
        <w:rPr>
          <w:rFonts w:ascii="Symbol" w:hAnsi="Symbol"/>
          <w:color w:val="000000"/>
          <w:sz w:val="19"/>
          <w:shd w:fill="F7F9F9" w:color="auto" w:val="clear"/>
        </w:rPr>
        <w:t></w:t>
      </w:r>
      <w:r>
        <w:rPr>
          <w:color w:val="000000"/>
          <w:spacing w:val="66"/>
          <w:sz w:val="19"/>
          <w:shd w:fill="F7F9F9" w:color="auto" w:val="clear"/>
        </w:rPr>
        <w:t> </w:t>
      </w:r>
      <w:r>
        <w:rPr>
          <w:rFonts w:ascii="Symbol" w:hAnsi="Symbol"/>
          <w:color w:val="000000"/>
          <w:sz w:val="19"/>
          <w:shd w:fill="F7F9F9" w:color="auto" w:val="clear"/>
        </w:rPr>
        <w:t></w:t>
      </w:r>
      <w:r>
        <w:rPr>
          <w:color w:val="000000"/>
          <w:spacing w:val="66"/>
          <w:sz w:val="19"/>
          <w:shd w:fill="F7F9F9" w:color="auto" w:val="clear"/>
        </w:rPr>
        <w:t> </w:t>
      </w:r>
      <w:r>
        <w:rPr>
          <w:rFonts w:ascii="Symbol" w:hAnsi="Symbol"/>
          <w:color w:val="000000"/>
          <w:spacing w:val="-2"/>
          <w:sz w:val="19"/>
          <w:shd w:fill="F7F9F9" w:color="auto" w:val="clear"/>
        </w:rPr>
        <w:t></w:t>
      </w:r>
      <w:r>
        <w:rPr>
          <w:rFonts w:ascii="Courier New" w:hAnsi="Courier New"/>
          <w:color w:val="000000"/>
          <w:spacing w:val="-2"/>
          <w:sz w:val="19"/>
          <w:shd w:fill="F7F9F9" w:color="auto" w:val="clear"/>
        </w:rPr>
        <w:t>_c)])</w:t>
      </w:r>
      <w:r>
        <w:rPr>
          <w:rFonts w:ascii="Courier New" w:hAnsi="Courier New"/>
          <w:color w:val="000000"/>
          <w:sz w:val="19"/>
          <w:shd w:fill="F7F9F9" w:color="auto" w:val="clear"/>
        </w:rPr>
        <w:tab/>
      </w:r>
    </w:p>
    <w:p>
      <w:pPr>
        <w:pStyle w:val="Heading2"/>
        <w:numPr>
          <w:ilvl w:val="1"/>
          <w:numId w:val="1"/>
        </w:numPr>
        <w:tabs>
          <w:tab w:pos="795" w:val="left" w:leader="none"/>
        </w:tabs>
        <w:spacing w:line="240" w:lineRule="auto" w:before="187" w:after="40"/>
        <w:ind w:left="795" w:right="0" w:hanging="315"/>
        <w:jc w:val="left"/>
      </w:pPr>
      <w:r>
        <w:rPr>
          <w:color w:val="2D6DB3"/>
        </w:rPr>
        <w:t>Fitted </w:t>
      </w:r>
      <w:r>
        <w:rPr>
          <w:color w:val="2D6DB3"/>
          <w:spacing w:val="-2"/>
        </w:rPr>
        <w:t>Parameters</w:t>
      </w:r>
    </w:p>
    <w:tbl>
      <w:tblPr>
        <w:tblW w:w="0" w:type="auto"/>
        <w:jc w:val="left"/>
        <w:tblInd w:w="365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72"/>
        <w:gridCol w:w="2340"/>
        <w:gridCol w:w="2621"/>
        <w:gridCol w:w="2527"/>
      </w:tblGrid>
      <w:tr>
        <w:trPr>
          <w:trHeight w:val="430" w:hRule="atLeast"/>
        </w:trPr>
        <w:tc>
          <w:tcPr>
            <w:tcW w:w="1872" w:type="dxa"/>
            <w:shd w:val="clear" w:color="auto" w:fill="1F4D79"/>
          </w:tcPr>
          <w:p>
            <w:pPr>
              <w:pStyle w:val="TableParagraph"/>
              <w:spacing w:before="107"/>
              <w:ind w:right="1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color w:val="FFFFFF"/>
                <w:spacing w:val="-2"/>
                <w:sz w:val="18"/>
              </w:rPr>
              <w:t>Parameter</w:t>
            </w:r>
          </w:p>
        </w:tc>
        <w:tc>
          <w:tcPr>
            <w:tcW w:w="2340" w:type="dxa"/>
            <w:shd w:val="clear" w:color="auto" w:fill="1F4D79"/>
          </w:tcPr>
          <w:p>
            <w:pPr>
              <w:pStyle w:val="TableParagraph"/>
              <w:spacing w:before="107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color w:val="FFFFFF"/>
                <w:spacing w:val="-2"/>
                <w:sz w:val="18"/>
              </w:rPr>
              <w:t>Value</w:t>
            </w:r>
          </w:p>
        </w:tc>
        <w:tc>
          <w:tcPr>
            <w:tcW w:w="2621" w:type="dxa"/>
            <w:shd w:val="clear" w:color="auto" w:fill="1F4D79"/>
          </w:tcPr>
          <w:p>
            <w:pPr>
              <w:pStyle w:val="TableParagraph"/>
              <w:spacing w:before="94"/>
              <w:ind w:left="9" w:right="4"/>
              <w:rPr>
                <w:rFonts w:ascii="Times New Roman" w:hAnsi="Times New Roman"/>
                <w:b/>
                <w:sz w:val="18"/>
              </w:rPr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Uncertainty </w:t>
            </w:r>
            <w:r>
              <w:rPr>
                <w:rFonts w:ascii="Times New Roman" w:hAnsi="Times New Roman"/>
                <w:b/>
                <w:color w:val="FFFFFF"/>
                <w:spacing w:val="-4"/>
                <w:sz w:val="18"/>
              </w:rPr>
              <w:t>(±1</w:t>
            </w:r>
            <w:r>
              <w:rPr>
                <w:rFonts w:ascii="Symbol" w:hAnsi="Symbol"/>
                <w:color w:val="FFFFFF"/>
                <w:spacing w:val="-4"/>
                <w:sz w:val="18"/>
              </w:rPr>
              <w:t></w:t>
            </w:r>
            <w:r>
              <w:rPr>
                <w:rFonts w:ascii="Times New Roman" w:hAnsi="Times New Roman"/>
                <w:b/>
                <w:color w:val="FFFFFF"/>
                <w:spacing w:val="-4"/>
                <w:sz w:val="18"/>
              </w:rPr>
              <w:t>)</w:t>
            </w:r>
          </w:p>
        </w:tc>
        <w:tc>
          <w:tcPr>
            <w:tcW w:w="2527" w:type="dxa"/>
            <w:shd w:val="clear" w:color="auto" w:fill="1F4D79"/>
          </w:tcPr>
          <w:p>
            <w:pPr>
              <w:pStyle w:val="TableParagraph"/>
              <w:spacing w:before="107"/>
              <w:ind w:right="1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color w:val="FFFFFF"/>
                <w:sz w:val="18"/>
              </w:rPr>
              <w:t>Physical </w:t>
            </w:r>
            <w:r>
              <w:rPr>
                <w:rFonts w:ascii="Times New Roman"/>
                <w:b/>
                <w:color w:val="FFFFFF"/>
                <w:spacing w:val="-2"/>
                <w:sz w:val="18"/>
              </w:rPr>
              <w:t>meaning</w:t>
            </w:r>
          </w:p>
        </w:tc>
      </w:tr>
      <w:tr>
        <w:trPr>
          <w:trHeight w:val="430" w:hRule="atLeast"/>
        </w:trPr>
        <w:tc>
          <w:tcPr>
            <w:tcW w:w="1872" w:type="dxa"/>
            <w:shd w:val="clear" w:color="auto" w:fill="F4F7FB"/>
          </w:tcPr>
          <w:p>
            <w:pPr>
              <w:pStyle w:val="TableParagraph"/>
              <w:spacing w:before="94"/>
              <w:rPr>
                <w:sz w:val="18"/>
              </w:rPr>
            </w:pPr>
            <w:r>
              <w:rPr>
                <w:rFonts w:ascii="Symbol" w:hAnsi="Symbol"/>
                <w:spacing w:val="-5"/>
                <w:sz w:val="18"/>
              </w:rPr>
              <w:t></w:t>
            </w:r>
            <w:r>
              <w:rPr>
                <w:spacing w:val="-5"/>
                <w:sz w:val="18"/>
              </w:rPr>
              <w:t>_c</w:t>
            </w:r>
          </w:p>
        </w:tc>
        <w:tc>
          <w:tcPr>
            <w:tcW w:w="2340" w:type="dxa"/>
            <w:shd w:val="clear" w:color="auto" w:fill="F4F7FB"/>
          </w:tcPr>
          <w:p>
            <w:pPr>
              <w:pStyle w:val="TableParagraph"/>
              <w:ind w:left="789"/>
              <w:jc w:val="left"/>
              <w:rPr>
                <w:sz w:val="18"/>
              </w:rPr>
            </w:pPr>
            <w:r>
              <w:rPr>
                <w:sz w:val="18"/>
              </w:rPr>
              <w:t>2.339 </w:t>
            </w:r>
            <w:r>
              <w:rPr>
                <w:spacing w:val="-5"/>
                <w:sz w:val="18"/>
              </w:rPr>
              <w:t>rad</w:t>
            </w:r>
          </w:p>
        </w:tc>
        <w:tc>
          <w:tcPr>
            <w:tcW w:w="2621" w:type="dxa"/>
            <w:shd w:val="clear" w:color="auto" w:fill="F4F7FB"/>
          </w:tcPr>
          <w:p>
            <w:pPr>
              <w:pStyle w:val="TableParagraph"/>
              <w:ind w:left="9" w:right="6"/>
              <w:rPr>
                <w:sz w:val="18"/>
              </w:rPr>
            </w:pPr>
            <w:r>
              <w:rPr>
                <w:sz w:val="18"/>
              </w:rPr>
              <w:t>±0.009 </w:t>
            </w:r>
            <w:r>
              <w:rPr>
                <w:spacing w:val="-5"/>
                <w:sz w:val="18"/>
              </w:rPr>
              <w:t>rad</w:t>
            </w:r>
          </w:p>
        </w:tc>
        <w:tc>
          <w:tcPr>
            <w:tcW w:w="2527" w:type="dxa"/>
            <w:shd w:val="clear" w:color="auto" w:fill="F4F7FB"/>
          </w:tcPr>
          <w:p>
            <w:pPr>
              <w:pStyle w:val="TableParagraph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Threshold</w:t>
            </w:r>
          </w:p>
        </w:tc>
      </w:tr>
      <w:tr>
        <w:trPr>
          <w:trHeight w:val="430" w:hRule="atLeast"/>
        </w:trPr>
        <w:tc>
          <w:tcPr>
            <w:tcW w:w="187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k</w:t>
            </w:r>
          </w:p>
        </w:tc>
        <w:tc>
          <w:tcPr>
            <w:tcW w:w="234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5.01</w:t>
            </w:r>
          </w:p>
        </w:tc>
        <w:tc>
          <w:tcPr>
            <w:tcW w:w="2621" w:type="dxa"/>
          </w:tcPr>
          <w:p>
            <w:pPr>
              <w:pStyle w:val="TableParagraph"/>
              <w:ind w:left="9" w:right="6"/>
              <w:rPr>
                <w:sz w:val="18"/>
              </w:rPr>
            </w:pPr>
            <w:r>
              <w:rPr>
                <w:spacing w:val="-2"/>
                <w:sz w:val="18"/>
              </w:rPr>
              <w:t>±0.19</w:t>
            </w:r>
          </w:p>
        </w:tc>
        <w:tc>
          <w:tcPr>
            <w:tcW w:w="2527" w:type="dxa"/>
          </w:tcPr>
          <w:p>
            <w:pPr>
              <w:pStyle w:val="TableParagraph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Steepness</w:t>
            </w:r>
          </w:p>
        </w:tc>
      </w:tr>
      <w:tr>
        <w:trPr>
          <w:trHeight w:val="430" w:hRule="atLeast"/>
        </w:trPr>
        <w:tc>
          <w:tcPr>
            <w:tcW w:w="1872" w:type="dxa"/>
            <w:shd w:val="clear" w:color="auto" w:fill="F4F7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V_high</w:t>
            </w:r>
          </w:p>
        </w:tc>
        <w:tc>
          <w:tcPr>
            <w:tcW w:w="2340" w:type="dxa"/>
            <w:shd w:val="clear" w:color="auto" w:fill="F4F7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0.960</w:t>
            </w:r>
          </w:p>
        </w:tc>
        <w:tc>
          <w:tcPr>
            <w:tcW w:w="2621" w:type="dxa"/>
            <w:shd w:val="clear" w:color="auto" w:fill="F4F7FB"/>
          </w:tcPr>
          <w:p>
            <w:pPr>
              <w:pStyle w:val="TableParagraph"/>
              <w:ind w:left="9" w:right="6"/>
              <w:rPr>
                <w:sz w:val="18"/>
              </w:rPr>
            </w:pPr>
            <w:r>
              <w:rPr>
                <w:spacing w:val="-2"/>
                <w:sz w:val="18"/>
              </w:rPr>
              <w:t>±0.003</w:t>
            </w:r>
          </w:p>
        </w:tc>
        <w:tc>
          <w:tcPr>
            <w:tcW w:w="2527" w:type="dxa"/>
            <w:shd w:val="clear" w:color="auto" w:fill="F4F7FB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Coherent </w:t>
            </w:r>
            <w:r>
              <w:rPr>
                <w:spacing w:val="-2"/>
                <w:sz w:val="18"/>
              </w:rPr>
              <w:t>ceiling</w:t>
            </w:r>
          </w:p>
        </w:tc>
      </w:tr>
      <w:tr>
        <w:trPr>
          <w:trHeight w:val="430" w:hRule="atLeast"/>
        </w:trPr>
        <w:tc>
          <w:tcPr>
            <w:tcW w:w="187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V_low</w:t>
            </w:r>
          </w:p>
        </w:tc>
        <w:tc>
          <w:tcPr>
            <w:tcW w:w="234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0.156</w:t>
            </w:r>
          </w:p>
        </w:tc>
        <w:tc>
          <w:tcPr>
            <w:tcW w:w="2621" w:type="dxa"/>
          </w:tcPr>
          <w:p>
            <w:pPr>
              <w:pStyle w:val="TableParagraph"/>
              <w:ind w:left="9" w:right="6"/>
              <w:rPr>
                <w:sz w:val="18"/>
              </w:rPr>
            </w:pPr>
            <w:r>
              <w:rPr>
                <w:spacing w:val="-2"/>
                <w:sz w:val="18"/>
              </w:rPr>
              <w:t>±0.009</w:t>
            </w:r>
          </w:p>
        </w:tc>
        <w:tc>
          <w:tcPr>
            <w:tcW w:w="2527" w:type="dxa"/>
          </w:tcPr>
          <w:p>
            <w:pPr>
              <w:pStyle w:val="TableParagraph"/>
              <w:ind w:right="1"/>
              <w:rPr>
                <w:sz w:val="18"/>
              </w:rPr>
            </w:pPr>
            <w:r>
              <w:rPr>
                <w:sz w:val="18"/>
              </w:rPr>
              <w:t>Incoherent </w:t>
            </w:r>
            <w:r>
              <w:rPr>
                <w:spacing w:val="-2"/>
                <w:sz w:val="18"/>
              </w:rPr>
              <w:t>floor</w:t>
            </w:r>
          </w:p>
        </w:tc>
      </w:tr>
      <w:tr>
        <w:trPr>
          <w:trHeight w:val="430" w:hRule="atLeast"/>
        </w:trPr>
        <w:tc>
          <w:tcPr>
            <w:tcW w:w="1872" w:type="dxa"/>
            <w:shd w:val="clear" w:color="auto" w:fill="F4F7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R²</w:t>
            </w:r>
          </w:p>
        </w:tc>
        <w:tc>
          <w:tcPr>
            <w:tcW w:w="2340" w:type="dxa"/>
            <w:shd w:val="clear" w:color="auto" w:fill="F4F7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0.9990</w:t>
            </w:r>
          </w:p>
        </w:tc>
        <w:tc>
          <w:tcPr>
            <w:tcW w:w="2621" w:type="dxa"/>
            <w:shd w:val="clear" w:color="auto" w:fill="F4F7FB"/>
          </w:tcPr>
          <w:p>
            <w:pPr>
              <w:pStyle w:val="TableParagraph"/>
              <w:ind w:left="9"/>
              <w:rPr>
                <w:sz w:val="18"/>
              </w:rPr>
            </w:pPr>
            <w:r>
              <w:rPr>
                <w:spacing w:val="-10"/>
                <w:sz w:val="18"/>
              </w:rPr>
              <w:t>—</w:t>
            </w:r>
          </w:p>
        </w:tc>
        <w:tc>
          <w:tcPr>
            <w:tcW w:w="2527" w:type="dxa"/>
            <w:shd w:val="clear" w:color="auto" w:fill="F4F7FB"/>
          </w:tcPr>
          <w:p>
            <w:pPr>
              <w:pStyle w:val="TableParagraph"/>
              <w:ind w:right="1"/>
              <w:rPr>
                <w:sz w:val="18"/>
              </w:rPr>
            </w:pPr>
            <w:r>
              <w:rPr>
                <w:sz w:val="18"/>
              </w:rPr>
              <w:t>Goodness of </w:t>
            </w:r>
            <w:r>
              <w:rPr>
                <w:spacing w:val="-5"/>
                <w:sz w:val="18"/>
              </w:rPr>
              <w:t>fit</w:t>
            </w:r>
          </w:p>
        </w:tc>
      </w:tr>
    </w:tbl>
    <w:p>
      <w:pPr>
        <w:spacing w:before="6"/>
        <w:ind w:left="0" w:right="0" w:firstLine="0"/>
        <w:jc w:val="center"/>
        <w:rPr>
          <w:i/>
          <w:sz w:val="17"/>
        </w:rPr>
      </w:pPr>
      <w:r>
        <w:rPr>
          <w:i/>
          <w:color w:val="444444"/>
          <w:sz w:val="17"/>
        </w:rPr>
        <w:t>Table 3. QMCTB-02 sigmoid transfer function </w:t>
      </w:r>
      <w:r>
        <w:rPr>
          <w:i/>
          <w:color w:val="444444"/>
          <w:spacing w:val="-2"/>
          <w:sz w:val="17"/>
        </w:rPr>
        <w:t>parameters.</w:t>
      </w:r>
    </w:p>
    <w:p>
      <w:pPr>
        <w:pStyle w:val="BodyText"/>
        <w:spacing w:before="0"/>
        <w:rPr>
          <w:i/>
          <w:sz w:val="17"/>
        </w:rPr>
      </w:pPr>
    </w:p>
    <w:p>
      <w:pPr>
        <w:pStyle w:val="BodyText"/>
        <w:spacing w:before="176"/>
        <w:rPr>
          <w:i/>
          <w:sz w:val="17"/>
        </w:rPr>
      </w:pPr>
    </w:p>
    <w:p>
      <w:pPr>
        <w:pStyle w:val="Heading2"/>
        <w:numPr>
          <w:ilvl w:val="1"/>
          <w:numId w:val="1"/>
        </w:numPr>
        <w:tabs>
          <w:tab w:pos="795" w:val="left" w:leader="none"/>
        </w:tabs>
        <w:spacing w:line="240" w:lineRule="auto" w:before="0" w:after="0"/>
        <w:ind w:left="795" w:right="0" w:hanging="315"/>
        <w:jc w:val="left"/>
      </w:pPr>
      <w:r>
        <w:rPr>
          <w:color w:val="2D6DB3"/>
        </w:rPr>
        <w:t>Threshold </w:t>
      </w:r>
      <w:r>
        <w:rPr>
          <w:color w:val="2D6DB3"/>
          <w:spacing w:val="-2"/>
        </w:rPr>
        <w:t>Interpretation</w:t>
      </w:r>
    </w:p>
    <w:p>
      <w:pPr>
        <w:pStyle w:val="BodyText"/>
        <w:spacing w:line="300" w:lineRule="exact" w:before="5"/>
        <w:ind w:left="480" w:right="430"/>
        <w:jc w:val="both"/>
      </w:pPr>
      <w:r>
        <w:rPr/>
        <w:t>The</w:t>
      </w:r>
      <w:r>
        <w:rPr>
          <w:spacing w:val="-1"/>
        </w:rPr>
        <w:t> </w:t>
      </w:r>
      <w:r>
        <w:rPr/>
        <w:t>threshold</w:t>
      </w:r>
      <w:r>
        <w:rPr>
          <w:spacing w:val="-1"/>
        </w:rPr>
        <w:t> </w:t>
      </w:r>
      <w:r>
        <w:rPr>
          <w:rFonts w:ascii="Symbol" w:hAnsi="Symbol"/>
        </w:rPr>
        <w:t></w:t>
      </w:r>
      <w:r>
        <w:rPr>
          <w:position w:val="-9"/>
          <w:sz w:val="16"/>
        </w:rPr>
        <w:t>c </w:t>
      </w:r>
      <w:r>
        <w:rPr/>
        <w:t>=</w:t>
      </w:r>
      <w:r>
        <w:rPr>
          <w:spacing w:val="-1"/>
        </w:rPr>
        <w:t> </w:t>
      </w:r>
      <w:r>
        <w:rPr/>
        <w:t>2.339</w:t>
      </w:r>
      <w:r>
        <w:rPr>
          <w:spacing w:val="-1"/>
        </w:rPr>
        <w:t> </w:t>
      </w:r>
      <w:r>
        <w:rPr/>
        <w:t>±</w:t>
      </w:r>
      <w:r>
        <w:rPr>
          <w:spacing w:val="-1"/>
        </w:rPr>
        <w:t> </w:t>
      </w:r>
      <w:r>
        <w:rPr/>
        <w:t>0.009</w:t>
      </w:r>
      <w:r>
        <w:rPr>
          <w:spacing w:val="-1"/>
        </w:rPr>
        <w:t> </w:t>
      </w:r>
      <w:r>
        <w:rPr/>
        <w:t>rad</w:t>
      </w:r>
      <w:r>
        <w:rPr>
          <w:spacing w:val="-1"/>
        </w:rPr>
        <w:t> </w:t>
      </w:r>
      <w:r>
        <w:rPr/>
        <w:t>defines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QMCTB-01</w:t>
      </w:r>
      <w:r>
        <w:rPr>
          <w:spacing w:val="-1"/>
        </w:rPr>
        <w:t> </w:t>
      </w:r>
      <w:r>
        <w:rPr/>
        <w:t>pass</w:t>
      </w:r>
      <w:r>
        <w:rPr>
          <w:spacing w:val="-1"/>
        </w:rPr>
        <w:t> </w:t>
      </w:r>
      <w:r>
        <w:rPr/>
        <w:t>criterion</w:t>
      </w:r>
      <w:r>
        <w:rPr>
          <w:spacing w:val="-1"/>
        </w:rPr>
        <w:t> </w:t>
      </w:r>
      <w:r>
        <w:rPr/>
        <w:t>(V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0.8)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hardware-level</w:t>
      </w:r>
      <w:r>
        <w:rPr>
          <w:spacing w:val="-1"/>
        </w:rPr>
        <w:t> </w:t>
      </w:r>
      <w:r>
        <w:rPr/>
        <w:t>detector specification: a detector passes QMCTB-01 when </w:t>
      </w:r>
      <w:r>
        <w:rPr>
          <w:rFonts w:ascii="Symbol" w:hAnsi="Symbol"/>
        </w:rPr>
        <w:t></w:t>
      </w:r>
      <w:r>
        <w:rPr/>
        <w:t> </w:t>
      </w:r>
      <w:r>
        <w:rPr>
          <w:rFonts w:ascii="MS Gothic" w:hAnsi="MS Gothic"/>
        </w:rPr>
        <w:t>■</w:t>
      </w:r>
      <w:r>
        <w:rPr/>
        <w:t> </w:t>
      </w:r>
      <w:r>
        <w:rPr>
          <w:rFonts w:ascii="Symbol" w:hAnsi="Symbol"/>
        </w:rPr>
        <w:t></w:t>
      </w:r>
      <w:r>
        <w:rPr>
          <w:position w:val="-9"/>
          <w:sz w:val="16"/>
        </w:rPr>
        <w:t>c</w:t>
      </w:r>
      <w:r>
        <w:rPr/>
        <w:t>, corresponding to V </w:t>
      </w:r>
      <w:r>
        <w:rPr>
          <w:rFonts w:ascii="Symbol" w:hAnsi="Symbol"/>
        </w:rPr>
        <w:t></w:t>
      </w:r>
      <w:r>
        <w:rPr/>
        <w:t> 0.8 under the benchmark conditions. The error bands widen from 0.002 at </w:t>
      </w:r>
      <w:r>
        <w:rPr>
          <w:rFonts w:ascii="Symbol" w:hAnsi="Symbol"/>
        </w:rPr>
        <w:t></w:t>
      </w:r>
      <w:r>
        <w:rPr/>
        <w:t>=0 to 0.032 at </w:t>
      </w:r>
      <w:r>
        <w:rPr>
          <w:rFonts w:ascii="Symbol" w:hAnsi="Symbol"/>
        </w:rPr>
        <w:t></w:t>
      </w:r>
      <w:r>
        <w:rPr/>
        <w:t>=</w:t>
      </w:r>
      <w:r>
        <w:rPr>
          <w:rFonts w:ascii="Symbol" w:hAnsi="Symbol"/>
        </w:rPr>
        <w:t></w:t>
      </w:r>
      <w:r>
        <w:rPr/>
        <w:t>, predicting greater measurement variability under high decoherence.</w:t>
      </w:r>
    </w:p>
    <w:p>
      <w:pPr>
        <w:pStyle w:val="BodyText"/>
        <w:spacing w:after="0" w:line="300" w:lineRule="exact"/>
        <w:jc w:val="both"/>
        <w:sectPr>
          <w:pgSz w:w="12240" w:h="15840"/>
          <w:pgMar w:top="1500" w:bottom="280" w:left="1080" w:right="1080"/>
        </w:sectPr>
      </w:pPr>
    </w:p>
    <w:p>
      <w:pPr>
        <w:pStyle w:val="Heading2"/>
        <w:numPr>
          <w:ilvl w:val="1"/>
          <w:numId w:val="1"/>
        </w:numPr>
        <w:tabs>
          <w:tab w:pos="795" w:val="left" w:leader="none"/>
        </w:tabs>
        <w:spacing w:line="240" w:lineRule="auto" w:before="74" w:after="0"/>
        <w:ind w:left="795" w:right="0" w:hanging="315"/>
        <w:jc w:val="both"/>
      </w:pPr>
      <w:r>
        <w:rPr>
          <w:color w:val="2D6DB3"/>
        </w:rPr>
        <w:t>Connection to Experimental </w:t>
      </w:r>
      <w:r>
        <w:rPr>
          <w:color w:val="2D6DB3"/>
          <w:spacing w:val="-4"/>
        </w:rPr>
        <w:t>Work</w:t>
      </w:r>
    </w:p>
    <w:p>
      <w:pPr>
        <w:pStyle w:val="BodyText"/>
        <w:spacing w:line="309" w:lineRule="auto" w:before="58"/>
        <w:ind w:left="480" w:right="478"/>
        <w:jc w:val="both"/>
      </w:pPr>
      <w:r>
        <w:rPr/>
        <w:t>The Gaussian phase noise model is grounded in experiment. Satapathy et al. [12] at the Raman Research Institute demonstrated controlled dephasing of optical fringes using engineered Gaussian phase noise in a Mach-</w:t>
      </w:r>
      <w:r>
        <w:rPr/>
        <w:t>Zehnder interferometer, directly observing visibility reduction as a function of phase noise amplitude. Kincaid et al. at NIST [13] showed a V(</w:t>
      </w:r>
      <w:r>
        <w:rPr>
          <w:rFonts w:ascii="Symbol" w:hAnsi="Symbol"/>
        </w:rPr>
        <w:t></w:t>
      </w:r>
      <w:r>
        <w:rPr/>
        <w:t>) transition in a double-slit model where </w:t>
      </w:r>
      <w:r>
        <w:rPr>
          <w:rFonts w:ascii="Symbol" w:hAnsi="Symbol"/>
        </w:rPr>
        <w:t></w:t>
      </w:r>
      <w:r>
        <w:rPr/>
        <w:t> parameterises measurement precision. Pears Stefano et al. [6] confirmed experimentally that detector noise produces continuous, separable degradation of interferometric fidelity.</w:t>
      </w:r>
    </w:p>
    <w:p>
      <w:pPr>
        <w:pStyle w:val="Heading2"/>
        <w:numPr>
          <w:ilvl w:val="1"/>
          <w:numId w:val="1"/>
        </w:numPr>
        <w:tabs>
          <w:tab w:pos="795" w:val="left" w:leader="none"/>
        </w:tabs>
        <w:spacing w:line="240" w:lineRule="auto" w:before="161" w:after="0"/>
        <w:ind w:left="795" w:right="0" w:hanging="315"/>
        <w:jc w:val="both"/>
      </w:pPr>
      <w:r>
        <w:rPr>
          <w:color w:val="2D6DB3"/>
        </w:rPr>
        <w:t>Model Scope and </w:t>
      </w:r>
      <w:r>
        <w:rPr>
          <w:color w:val="2D6DB3"/>
          <w:spacing w:val="-2"/>
        </w:rPr>
        <w:t>Limitations</w:t>
      </w:r>
    </w:p>
    <w:p>
      <w:pPr>
        <w:spacing w:line="307" w:lineRule="auto" w:before="57"/>
        <w:ind w:left="480" w:right="478" w:firstLine="0"/>
        <w:jc w:val="both"/>
        <w:rPr>
          <w:i/>
          <w:sz w:val="19"/>
        </w:rPr>
      </w:pPr>
      <w:r>
        <w:rPr>
          <w:i/>
          <w:color w:val="444444"/>
          <w:sz w:val="19"/>
        </w:rPr>
        <w:t>The phase noise model assumes i.i.d. Gaussian perturbations, spatially uncorrelated and temporally independent. Real detectors exhibit spatially correlated noise, temporal drift, and device-specific coherence lengths not captured </w:t>
      </w:r>
      <w:r>
        <w:rPr>
          <w:i/>
          <w:color w:val="444444"/>
          <w:sz w:val="19"/>
        </w:rPr>
        <w:t>here. Experimental validation against real hardware remains future work.</w:t>
      </w:r>
    </w:p>
    <w:p>
      <w:pPr>
        <w:spacing w:after="0" w:line="307" w:lineRule="auto"/>
        <w:jc w:val="both"/>
        <w:rPr>
          <w:i/>
          <w:sz w:val="19"/>
        </w:rPr>
        <w:sectPr>
          <w:pgSz w:w="12240" w:h="15840"/>
          <w:pgMar w:top="1500" w:bottom="280" w:left="1080" w:right="1080"/>
        </w:sectPr>
      </w:pPr>
    </w:p>
    <w:p>
      <w:pPr>
        <w:pStyle w:val="Heading1"/>
        <w:spacing w:before="76"/>
        <w:ind w:left="480" w:firstLine="0"/>
      </w:pPr>
      <w:r>
        <w:rPr>
          <w:color w:val="1A3A6B"/>
          <w:spacing w:val="-2"/>
        </w:rPr>
        <w:t>Figures</w:t>
      </w:r>
    </w:p>
    <w:p>
      <w:pPr>
        <w:pStyle w:val="BodyText"/>
        <w:spacing w:before="5"/>
        <w:rPr>
          <w:b/>
          <w:sz w:val="7"/>
        </w:rPr>
      </w:pPr>
      <w:r>
        <w:rPr>
          <w:b/>
          <w:sz w:val="7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973895</wp:posOffset>
            </wp:positionH>
            <wp:positionV relativeFrom="paragraph">
              <wp:posOffset>69542</wp:posOffset>
            </wp:positionV>
            <wp:extent cx="5691831" cy="3343275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1831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90" w:lineRule="auto" w:before="112"/>
        <w:ind w:left="2835" w:right="92" w:hanging="2349"/>
        <w:jc w:val="left"/>
        <w:rPr>
          <w:i/>
          <w:sz w:val="17"/>
        </w:rPr>
      </w:pPr>
      <w:r>
        <w:rPr>
          <w:i/>
          <w:color w:val="444444"/>
          <w:sz w:val="17"/>
        </w:rPr>
        <w:t>Figure</w:t>
      </w:r>
      <w:r>
        <w:rPr>
          <w:i/>
          <w:color w:val="444444"/>
          <w:spacing w:val="-2"/>
          <w:sz w:val="17"/>
        </w:rPr>
        <w:t> </w:t>
      </w:r>
      <w:r>
        <w:rPr>
          <w:i/>
          <w:color w:val="444444"/>
          <w:sz w:val="17"/>
        </w:rPr>
        <w:t>1.</w:t>
      </w:r>
      <w:r>
        <w:rPr>
          <w:i/>
          <w:color w:val="444444"/>
          <w:spacing w:val="-2"/>
          <w:sz w:val="17"/>
        </w:rPr>
        <w:t> </w:t>
      </w:r>
      <w:r>
        <w:rPr>
          <w:i/>
          <w:color w:val="444444"/>
          <w:sz w:val="17"/>
        </w:rPr>
        <w:t>QMCTB-01</w:t>
      </w:r>
      <w:r>
        <w:rPr>
          <w:i/>
          <w:color w:val="444444"/>
          <w:spacing w:val="-2"/>
          <w:sz w:val="17"/>
        </w:rPr>
        <w:t> </w:t>
      </w:r>
      <w:r>
        <w:rPr>
          <w:i/>
          <w:color w:val="444444"/>
          <w:sz w:val="17"/>
        </w:rPr>
        <w:t>benchmark.</w:t>
      </w:r>
      <w:r>
        <w:rPr>
          <w:i/>
          <w:color w:val="444444"/>
          <w:spacing w:val="-2"/>
          <w:sz w:val="17"/>
        </w:rPr>
        <w:t> </w:t>
      </w:r>
      <w:r>
        <w:rPr>
          <w:i/>
          <w:color w:val="444444"/>
          <w:sz w:val="17"/>
        </w:rPr>
        <w:t>Top</w:t>
      </w:r>
      <w:r>
        <w:rPr>
          <w:i/>
          <w:color w:val="444444"/>
          <w:spacing w:val="-2"/>
          <w:sz w:val="17"/>
        </w:rPr>
        <w:t> </w:t>
      </w:r>
      <w:r>
        <w:rPr>
          <w:i/>
          <w:color w:val="444444"/>
          <w:sz w:val="17"/>
        </w:rPr>
        <w:t>row:</w:t>
      </w:r>
      <w:r>
        <w:rPr>
          <w:i/>
          <w:color w:val="444444"/>
          <w:spacing w:val="-2"/>
          <w:sz w:val="17"/>
        </w:rPr>
        <w:t> </w:t>
      </w:r>
      <w:r>
        <w:rPr>
          <w:i/>
          <w:color w:val="444444"/>
          <w:sz w:val="17"/>
        </w:rPr>
        <w:t>far-field</w:t>
      </w:r>
      <w:r>
        <w:rPr>
          <w:i/>
          <w:color w:val="444444"/>
          <w:spacing w:val="-2"/>
          <w:sz w:val="17"/>
        </w:rPr>
        <w:t> </w:t>
      </w:r>
      <w:r>
        <w:rPr>
          <w:i/>
          <w:color w:val="444444"/>
          <w:sz w:val="17"/>
        </w:rPr>
        <w:t>intensity</w:t>
      </w:r>
      <w:r>
        <w:rPr>
          <w:i/>
          <w:color w:val="444444"/>
          <w:spacing w:val="-2"/>
          <w:sz w:val="17"/>
        </w:rPr>
        <w:t> </w:t>
      </w:r>
      <w:r>
        <w:rPr>
          <w:i/>
          <w:color w:val="444444"/>
          <w:sz w:val="17"/>
        </w:rPr>
        <w:t>at</w:t>
      </w:r>
      <w:r>
        <w:rPr>
          <w:i/>
          <w:color w:val="444444"/>
          <w:spacing w:val="-2"/>
          <w:sz w:val="17"/>
        </w:rPr>
        <w:t> </w:t>
      </w:r>
      <w:r>
        <w:rPr>
          <w:rFonts w:ascii="Symbol" w:hAnsi="Symbol"/>
          <w:color w:val="444444"/>
          <w:sz w:val="17"/>
        </w:rPr>
        <w:t></w:t>
      </w:r>
      <w:r>
        <w:rPr>
          <w:color w:val="444444"/>
          <w:spacing w:val="-2"/>
          <w:sz w:val="17"/>
        </w:rPr>
        <w:t> </w:t>
      </w:r>
      <w:r>
        <w:rPr>
          <w:i/>
          <w:color w:val="444444"/>
          <w:sz w:val="17"/>
        </w:rPr>
        <w:t>=</w:t>
      </w:r>
      <w:r>
        <w:rPr>
          <w:i/>
          <w:color w:val="444444"/>
          <w:spacing w:val="-2"/>
          <w:sz w:val="17"/>
        </w:rPr>
        <w:t> </w:t>
      </w:r>
      <w:r>
        <w:rPr>
          <w:i/>
          <w:color w:val="444444"/>
          <w:sz w:val="17"/>
        </w:rPr>
        <w:t>0,</w:t>
      </w:r>
      <w:r>
        <w:rPr>
          <w:i/>
          <w:color w:val="444444"/>
          <w:spacing w:val="-2"/>
          <w:sz w:val="17"/>
        </w:rPr>
        <w:t> </w:t>
      </w:r>
      <w:r>
        <w:rPr>
          <w:i/>
          <w:color w:val="444444"/>
          <w:sz w:val="17"/>
        </w:rPr>
        <w:t>2.4,</w:t>
      </w:r>
      <w:r>
        <w:rPr>
          <w:i/>
          <w:color w:val="444444"/>
          <w:spacing w:val="-2"/>
          <w:sz w:val="17"/>
        </w:rPr>
        <w:t> </w:t>
      </w:r>
      <w:r>
        <w:rPr>
          <w:rFonts w:ascii="Symbol" w:hAnsi="Symbol"/>
          <w:color w:val="444444"/>
          <w:sz w:val="17"/>
        </w:rPr>
        <w:t></w:t>
      </w:r>
      <w:r>
        <w:rPr>
          <w:i/>
          <w:color w:val="444444"/>
          <w:sz w:val="17"/>
        </w:rPr>
        <w:t>.</w:t>
      </w:r>
      <w:r>
        <w:rPr>
          <w:i/>
          <w:color w:val="444444"/>
          <w:spacing w:val="-2"/>
          <w:sz w:val="17"/>
        </w:rPr>
        <w:t> </w:t>
      </w:r>
      <w:r>
        <w:rPr>
          <w:i/>
          <w:color w:val="444444"/>
          <w:sz w:val="17"/>
        </w:rPr>
        <w:t>Bottom</w:t>
      </w:r>
      <w:r>
        <w:rPr>
          <w:i/>
          <w:color w:val="444444"/>
          <w:spacing w:val="-2"/>
          <w:sz w:val="17"/>
        </w:rPr>
        <w:t> </w:t>
      </w:r>
      <w:r>
        <w:rPr>
          <w:i/>
          <w:color w:val="444444"/>
          <w:sz w:val="17"/>
        </w:rPr>
        <w:t>left:</w:t>
      </w:r>
      <w:r>
        <w:rPr>
          <w:i/>
          <w:color w:val="444444"/>
          <w:spacing w:val="-2"/>
          <w:sz w:val="17"/>
        </w:rPr>
        <w:t> </w:t>
      </w:r>
      <w:r>
        <w:rPr>
          <w:i/>
          <w:color w:val="444444"/>
          <w:sz w:val="17"/>
        </w:rPr>
        <w:t>V(</w:t>
      </w:r>
      <w:r>
        <w:rPr>
          <w:rFonts w:ascii="Symbol" w:hAnsi="Symbol"/>
          <w:color w:val="444444"/>
          <w:sz w:val="17"/>
        </w:rPr>
        <w:t></w:t>
      </w:r>
      <w:r>
        <w:rPr>
          <w:i/>
          <w:color w:val="444444"/>
          <w:sz w:val="17"/>
        </w:rPr>
        <w:t>)</w:t>
      </w:r>
      <w:r>
        <w:rPr>
          <w:i/>
          <w:color w:val="444444"/>
          <w:spacing w:val="-2"/>
          <w:sz w:val="17"/>
        </w:rPr>
        <w:t> </w:t>
      </w:r>
      <w:r>
        <w:rPr>
          <w:i/>
          <w:color w:val="444444"/>
          <w:sz w:val="17"/>
        </w:rPr>
        <w:t>sweep</w:t>
      </w:r>
      <w:r>
        <w:rPr>
          <w:i/>
          <w:color w:val="444444"/>
          <w:spacing w:val="-2"/>
          <w:sz w:val="17"/>
        </w:rPr>
        <w:t> </w:t>
      </w:r>
      <w:r>
        <w:rPr>
          <w:i/>
          <w:color w:val="444444"/>
          <w:sz w:val="17"/>
        </w:rPr>
        <w:t>with</w:t>
      </w:r>
      <w:r>
        <w:rPr>
          <w:i/>
          <w:color w:val="444444"/>
          <w:spacing w:val="-2"/>
          <w:sz w:val="17"/>
        </w:rPr>
        <w:t> </w:t>
      </w:r>
      <w:r>
        <w:rPr>
          <w:i/>
          <w:color w:val="444444"/>
          <w:sz w:val="17"/>
        </w:rPr>
        <w:t>±1</w:t>
      </w:r>
      <w:r>
        <w:rPr>
          <w:rFonts w:ascii="Symbol" w:hAnsi="Symbol"/>
          <w:color w:val="444444"/>
          <w:sz w:val="17"/>
        </w:rPr>
        <w:t></w:t>
      </w:r>
      <w:r>
        <w:rPr>
          <w:color w:val="444444"/>
          <w:spacing w:val="-2"/>
          <w:sz w:val="17"/>
        </w:rPr>
        <w:t> </w:t>
      </w:r>
      <w:r>
        <w:rPr>
          <w:i/>
          <w:color w:val="444444"/>
          <w:sz w:val="17"/>
        </w:rPr>
        <w:t>error</w:t>
      </w:r>
      <w:r>
        <w:rPr>
          <w:i/>
          <w:color w:val="444444"/>
          <w:spacing w:val="-2"/>
          <w:sz w:val="17"/>
        </w:rPr>
        <w:t> </w:t>
      </w:r>
      <w:r>
        <w:rPr>
          <w:i/>
          <w:color w:val="444444"/>
          <w:sz w:val="17"/>
        </w:rPr>
        <w:t>bands.</w:t>
      </w:r>
      <w:r>
        <w:rPr>
          <w:i/>
          <w:color w:val="444444"/>
          <w:spacing w:val="-2"/>
          <w:sz w:val="17"/>
        </w:rPr>
        <w:t> </w:t>
      </w:r>
      <w:r>
        <w:rPr>
          <w:i/>
          <w:color w:val="444444"/>
          <w:sz w:val="17"/>
        </w:rPr>
        <w:t>Bottom centre: central cross-section. Bottom right: parameter summary.</w:t>
      </w:r>
    </w:p>
    <w:p>
      <w:pPr>
        <w:pStyle w:val="BodyText"/>
        <w:spacing w:before="0"/>
        <w:rPr>
          <w:i/>
        </w:rPr>
      </w:pPr>
    </w:p>
    <w:p>
      <w:pPr>
        <w:pStyle w:val="BodyText"/>
        <w:spacing w:before="130"/>
        <w:rPr>
          <w:i/>
        </w:rPr>
      </w:pPr>
      <w:r>
        <w:rPr>
          <w:i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1420922</wp:posOffset>
            </wp:positionH>
            <wp:positionV relativeFrom="paragraph">
              <wp:posOffset>244269</wp:posOffset>
            </wp:positionV>
            <wp:extent cx="4948933" cy="3034474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8933" cy="30344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91"/>
        <w:ind w:left="672" w:right="0" w:firstLine="0"/>
        <w:jc w:val="left"/>
        <w:rPr>
          <w:i/>
          <w:sz w:val="17"/>
        </w:rPr>
      </w:pPr>
      <w:r>
        <w:rPr>
          <w:i/>
          <w:color w:val="444444"/>
          <w:sz w:val="17"/>
        </w:rPr>
        <w:t>Figure 2. QMCTB-02 detector coherence transfer function. Sigmoid fit: </w:t>
      </w:r>
      <w:r>
        <w:rPr>
          <w:rFonts w:ascii="Symbol" w:hAnsi="Symbol"/>
          <w:color w:val="444444"/>
          <w:sz w:val="17"/>
        </w:rPr>
        <w:t></w:t>
      </w:r>
      <w:r>
        <w:rPr>
          <w:i/>
          <w:color w:val="444444"/>
          <w:sz w:val="17"/>
        </w:rPr>
        <w:t>_c = 2.339 ± 0.009 rad, k = 5.01 ± 0.19, R² = </w:t>
      </w:r>
      <w:r>
        <w:rPr>
          <w:i/>
          <w:color w:val="444444"/>
          <w:spacing w:val="-2"/>
          <w:sz w:val="17"/>
        </w:rPr>
        <w:t>0.9990.</w:t>
      </w:r>
    </w:p>
    <w:p>
      <w:pPr>
        <w:spacing w:after="0"/>
        <w:jc w:val="left"/>
        <w:rPr>
          <w:i/>
          <w:sz w:val="17"/>
        </w:rPr>
        <w:sectPr>
          <w:pgSz w:w="12240" w:h="15840"/>
          <w:pgMar w:top="1500" w:bottom="280" w:left="1080" w:right="1080"/>
        </w:sectPr>
      </w:pPr>
    </w:p>
    <w:p>
      <w:pPr>
        <w:pStyle w:val="Heading1"/>
        <w:numPr>
          <w:ilvl w:val="0"/>
          <w:numId w:val="1"/>
        </w:numPr>
        <w:tabs>
          <w:tab w:pos="720" w:val="left" w:leader="none"/>
        </w:tabs>
        <w:spacing w:line="240" w:lineRule="auto" w:before="76" w:after="0"/>
        <w:ind w:left="720" w:right="0" w:hanging="240"/>
        <w:jc w:val="left"/>
      </w:pPr>
      <w:r>
        <w:rPr>
          <w:color w:val="1A3A6B"/>
        </w:rPr>
        <w:t>Unified Measurement </w:t>
      </w:r>
      <w:r>
        <w:rPr>
          <w:color w:val="1A3A6B"/>
          <w:spacing w:val="-2"/>
        </w:rPr>
        <w:t>Framework</w:t>
      </w:r>
    </w:p>
    <w:p>
      <w:pPr>
        <w:pStyle w:val="BodyText"/>
        <w:spacing w:before="41"/>
        <w:ind w:left="480"/>
      </w:pPr>
      <w:r>
        <w:rPr/>
        <w:t>Combining DPI, QMCTB-01, and QMCTB-</w:t>
      </w:r>
      <w:r>
        <w:rPr>
          <w:spacing w:val="-5"/>
        </w:rPr>
        <w:t>02:</w:t>
      </w:r>
    </w:p>
    <w:p>
      <w:pPr>
        <w:pStyle w:val="BodyTex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990600</wp:posOffset>
                </wp:positionH>
                <wp:positionV relativeFrom="paragraph">
                  <wp:posOffset>137822</wp:posOffset>
                </wp:positionV>
                <wp:extent cx="5791200" cy="165100"/>
                <wp:effectExtent l="0" t="0" r="0" b="0"/>
                <wp:wrapTopAndBottom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5791200" cy="165100"/>
                        </a:xfrm>
                        <a:prstGeom prst="rect">
                          <a:avLst/>
                        </a:prstGeom>
                        <a:solidFill>
                          <a:srgbClr val="F7F9F9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exact" w:before="0"/>
                              <w:ind w:left="0" w:right="0" w:firstLine="0"/>
                              <w:jc w:val="center"/>
                              <w:rPr>
                                <w:rFonts w:ascii="Courier New" w:hAnsi="Courier New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00"/>
                                <w:sz w:val="19"/>
                              </w:rPr>
                              <w:t>Field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9"/>
                              </w:rPr>
                              <w:t>propagation </w:t>
                            </w:r>
                            <w:r>
                              <w:rPr>
                                <w:rFonts w:ascii="Symbol" w:hAnsi="Symbol"/>
                                <w:color w:val="000000"/>
                                <w:sz w:val="19"/>
                              </w:rPr>
                              <w:t></w:t>
                            </w:r>
                            <w:r>
                              <w:rPr>
                                <w:color w:val="000000"/>
                                <w:spacing w:val="6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9"/>
                              </w:rPr>
                              <w:t>coherence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2"/>
                                <w:sz w:val="19"/>
                              </w:rPr>
                              <w:t>imprint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78pt;margin-top:10.852148pt;width:456pt;height:13pt;mso-position-horizontal-relative:page;mso-position-vertical-relative:paragraph;z-index:-15726592;mso-wrap-distance-left:0;mso-wrap-distance-right:0" type="#_x0000_t202" id="docshape3" filled="true" fillcolor="#f7f9f9" stroked="false">
                <v:textbox inset="0,0,0,0">
                  <w:txbxContent>
                    <w:p>
                      <w:pPr>
                        <w:spacing w:line="247" w:lineRule="exact" w:before="0"/>
                        <w:ind w:left="0" w:right="0" w:firstLine="0"/>
                        <w:jc w:val="center"/>
                        <w:rPr>
                          <w:rFonts w:ascii="Courier New" w:hAnsi="Courier New"/>
                          <w:color w:val="000000"/>
                          <w:sz w:val="19"/>
                        </w:rPr>
                      </w:pPr>
                      <w:r>
                        <w:rPr>
                          <w:rFonts w:ascii="Courier New" w:hAnsi="Courier New"/>
                          <w:color w:val="000000"/>
                          <w:sz w:val="19"/>
                        </w:rPr>
                        <w:t>Field</w:t>
                      </w:r>
                      <w:r>
                        <w:rPr>
                          <w:rFonts w:ascii="Courier New" w:hAnsi="Courier New"/>
                          <w:color w:val="000000"/>
                          <w:spacing w:val="-2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z w:val="19"/>
                        </w:rPr>
                        <w:t>propagation </w:t>
                      </w:r>
                      <w:r>
                        <w:rPr>
                          <w:rFonts w:ascii="Symbol" w:hAnsi="Symbol"/>
                          <w:color w:val="000000"/>
                          <w:sz w:val="19"/>
                        </w:rPr>
                        <w:t></w:t>
                      </w:r>
                      <w:r>
                        <w:rPr>
                          <w:color w:val="000000"/>
                          <w:spacing w:val="66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z w:val="19"/>
                        </w:rPr>
                        <w:t>coherence </w:t>
                      </w:r>
                      <w:r>
                        <w:rPr>
                          <w:rFonts w:ascii="Courier New" w:hAnsi="Courier New"/>
                          <w:color w:val="000000"/>
                          <w:spacing w:val="-2"/>
                          <w:sz w:val="19"/>
                        </w:rPr>
                        <w:t>imprint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990600</wp:posOffset>
                </wp:positionH>
                <wp:positionV relativeFrom="paragraph">
                  <wp:posOffset>404522</wp:posOffset>
                </wp:positionV>
                <wp:extent cx="5791200" cy="165100"/>
                <wp:effectExtent l="0" t="0" r="0" b="0"/>
                <wp:wrapTopAndBottom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5791200" cy="165100"/>
                        </a:xfrm>
                        <a:prstGeom prst="rect">
                          <a:avLst/>
                        </a:prstGeom>
                        <a:solidFill>
                          <a:srgbClr val="F7F9F9"/>
                        </a:solidFill>
                      </wps:spPr>
                      <wps:txbx>
                        <w:txbxContent>
                          <w:p>
                            <w:pPr>
                              <w:spacing w:line="232" w:lineRule="exact" w:before="0"/>
                              <w:ind w:left="0" w:right="0" w:firstLine="0"/>
                              <w:jc w:val="center"/>
                              <w:rPr>
                                <w:rFonts w:ascii="Symbol" w:hAnsi="Symbol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Symbol" w:hAnsi="Symbol"/>
                                <w:color w:val="000000"/>
                                <w:spacing w:val="-10"/>
                                <w:sz w:val="19"/>
                              </w:rPr>
                              <w:t>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pt;margin-top:31.852148pt;width:456pt;height:13pt;mso-position-horizontal-relative:page;mso-position-vertical-relative:paragraph;z-index:-15726080;mso-wrap-distance-left:0;mso-wrap-distance-right:0" type="#_x0000_t202" id="docshape4" filled="true" fillcolor="#f7f9f9" stroked="false">
                <v:textbox inset="0,0,0,0">
                  <w:txbxContent>
                    <w:p>
                      <w:pPr>
                        <w:spacing w:line="232" w:lineRule="exact" w:before="0"/>
                        <w:ind w:left="0" w:right="0" w:firstLine="0"/>
                        <w:jc w:val="center"/>
                        <w:rPr>
                          <w:rFonts w:ascii="Symbol" w:hAnsi="Symbol"/>
                          <w:color w:val="000000"/>
                          <w:sz w:val="19"/>
                        </w:rPr>
                      </w:pPr>
                      <w:r>
                        <w:rPr>
                          <w:rFonts w:ascii="Symbol" w:hAnsi="Symbol"/>
                          <w:color w:val="000000"/>
                          <w:spacing w:val="-10"/>
                          <w:sz w:val="19"/>
                        </w:rPr>
                        <w:t>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990600</wp:posOffset>
                </wp:positionH>
                <wp:positionV relativeFrom="paragraph">
                  <wp:posOffset>671222</wp:posOffset>
                </wp:positionV>
                <wp:extent cx="5791200" cy="165100"/>
                <wp:effectExtent l="0" t="0" r="0" b="0"/>
                <wp:wrapTopAndBottom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5791200" cy="165100"/>
                        </a:xfrm>
                        <a:prstGeom prst="rect">
                          <a:avLst/>
                        </a:prstGeom>
                        <a:solidFill>
                          <a:srgbClr val="F7F9F9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exact" w:before="0"/>
                              <w:ind w:left="0" w:right="0" w:firstLine="0"/>
                              <w:jc w:val="center"/>
                              <w:rPr>
                                <w:rFonts w:ascii="Courier New" w:hAnsi="Courier New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00"/>
                                <w:sz w:val="19"/>
                              </w:rPr>
                              <w:t>Detector plane </w:t>
                            </w:r>
                            <w:r>
                              <w:rPr>
                                <w:rFonts w:ascii="Symbol" w:hAnsi="Symbol"/>
                                <w:color w:val="000000"/>
                                <w:sz w:val="19"/>
                              </w:rPr>
                              <w:t></w:t>
                            </w:r>
                            <w:r>
                              <w:rPr>
                                <w:color w:val="000000"/>
                                <w:spacing w:val="6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9"/>
                              </w:rPr>
                              <w:t>causality boundary (QMCTB-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5"/>
                                <w:sz w:val="19"/>
                              </w:rPr>
                              <w:t>01)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pt;margin-top:52.85215pt;width:456pt;height:13pt;mso-position-horizontal-relative:page;mso-position-vertical-relative:paragraph;z-index:-15725568;mso-wrap-distance-left:0;mso-wrap-distance-right:0" type="#_x0000_t202" id="docshape5" filled="true" fillcolor="#f7f9f9" stroked="false">
                <v:textbox inset="0,0,0,0">
                  <w:txbxContent>
                    <w:p>
                      <w:pPr>
                        <w:spacing w:line="247" w:lineRule="exact" w:before="0"/>
                        <w:ind w:left="0" w:right="0" w:firstLine="0"/>
                        <w:jc w:val="center"/>
                        <w:rPr>
                          <w:rFonts w:ascii="Courier New" w:hAnsi="Courier New"/>
                          <w:color w:val="000000"/>
                          <w:sz w:val="19"/>
                        </w:rPr>
                      </w:pPr>
                      <w:r>
                        <w:rPr>
                          <w:rFonts w:ascii="Courier New" w:hAnsi="Courier New"/>
                          <w:color w:val="000000"/>
                          <w:sz w:val="19"/>
                        </w:rPr>
                        <w:t>Detector plane </w:t>
                      </w:r>
                      <w:r>
                        <w:rPr>
                          <w:rFonts w:ascii="Symbol" w:hAnsi="Symbol"/>
                          <w:color w:val="000000"/>
                          <w:sz w:val="19"/>
                        </w:rPr>
                        <w:t></w:t>
                      </w:r>
                      <w:r>
                        <w:rPr>
                          <w:color w:val="000000"/>
                          <w:spacing w:val="66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z w:val="19"/>
                        </w:rPr>
                        <w:t>causality boundary (QMCTB-</w:t>
                      </w:r>
                      <w:r>
                        <w:rPr>
                          <w:rFonts w:ascii="Courier New" w:hAnsi="Courier New"/>
                          <w:color w:val="000000"/>
                          <w:spacing w:val="-5"/>
                          <w:sz w:val="19"/>
                        </w:rPr>
                        <w:t>01)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990600</wp:posOffset>
                </wp:positionH>
                <wp:positionV relativeFrom="paragraph">
                  <wp:posOffset>937922</wp:posOffset>
                </wp:positionV>
                <wp:extent cx="5791200" cy="165100"/>
                <wp:effectExtent l="0" t="0" r="0" b="0"/>
                <wp:wrapTopAndBottom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5791200" cy="165100"/>
                        </a:xfrm>
                        <a:prstGeom prst="rect">
                          <a:avLst/>
                        </a:prstGeom>
                        <a:solidFill>
                          <a:srgbClr val="F7F9F9"/>
                        </a:solidFill>
                      </wps:spPr>
                      <wps:txbx>
                        <w:txbxContent>
                          <w:p>
                            <w:pPr>
                              <w:spacing w:line="232" w:lineRule="exact" w:before="0"/>
                              <w:ind w:left="0" w:right="0" w:firstLine="0"/>
                              <w:jc w:val="center"/>
                              <w:rPr>
                                <w:rFonts w:ascii="Symbol" w:hAnsi="Symbol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Symbol" w:hAnsi="Symbol"/>
                                <w:color w:val="000000"/>
                                <w:spacing w:val="-10"/>
                                <w:sz w:val="19"/>
                              </w:rPr>
                              <w:t>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pt;margin-top:73.852150pt;width:456pt;height:13pt;mso-position-horizontal-relative:page;mso-position-vertical-relative:paragraph;z-index:-15725056;mso-wrap-distance-left:0;mso-wrap-distance-right:0" type="#_x0000_t202" id="docshape6" filled="true" fillcolor="#f7f9f9" stroked="false">
                <v:textbox inset="0,0,0,0">
                  <w:txbxContent>
                    <w:p>
                      <w:pPr>
                        <w:spacing w:line="232" w:lineRule="exact" w:before="0"/>
                        <w:ind w:left="0" w:right="0" w:firstLine="0"/>
                        <w:jc w:val="center"/>
                        <w:rPr>
                          <w:rFonts w:ascii="Symbol" w:hAnsi="Symbol"/>
                          <w:color w:val="000000"/>
                          <w:sz w:val="19"/>
                        </w:rPr>
                      </w:pPr>
                      <w:r>
                        <w:rPr>
                          <w:rFonts w:ascii="Symbol" w:hAnsi="Symbol"/>
                          <w:color w:val="000000"/>
                          <w:spacing w:val="-10"/>
                          <w:sz w:val="19"/>
                        </w:rPr>
                        <w:t>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990600</wp:posOffset>
                </wp:positionH>
                <wp:positionV relativeFrom="paragraph">
                  <wp:posOffset>1204622</wp:posOffset>
                </wp:positionV>
                <wp:extent cx="5791200" cy="165100"/>
                <wp:effectExtent l="0" t="0" r="0" b="0"/>
                <wp:wrapTopAndBottom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5791200" cy="165100"/>
                        </a:xfrm>
                        <a:prstGeom prst="rect">
                          <a:avLst/>
                        </a:prstGeom>
                        <a:solidFill>
                          <a:srgbClr val="F7F9F9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exact" w:before="0"/>
                              <w:ind w:left="0" w:right="0" w:firstLine="0"/>
                              <w:jc w:val="center"/>
                              <w:rPr>
                                <w:rFonts w:ascii="Courier New" w:hAnsi="Courier New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00"/>
                                <w:sz w:val="19"/>
                              </w:rPr>
                              <w:t>Detector response </w:t>
                            </w:r>
                            <w:r>
                              <w:rPr>
                                <w:rFonts w:ascii="Symbol" w:hAnsi="Symbol"/>
                                <w:color w:val="000000"/>
                                <w:sz w:val="19"/>
                              </w:rPr>
                              <w:t></w:t>
                            </w:r>
                            <w:r>
                              <w:rPr>
                                <w:color w:val="000000"/>
                                <w:spacing w:val="6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9"/>
                              </w:rPr>
                              <w:t>V(</w:t>
                            </w:r>
                            <w:r>
                              <w:rPr>
                                <w:rFonts w:ascii="Symbol" w:hAnsi="Symbol"/>
                                <w:color w:val="000000"/>
                                <w:sz w:val="19"/>
                              </w:rPr>
                              <w:t>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9"/>
                              </w:rPr>
                              <w:t>) coherence filter (QMCTB-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5"/>
                                <w:sz w:val="19"/>
                              </w:rPr>
                              <w:t>02)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pt;margin-top:94.85215pt;width:456pt;height:13pt;mso-position-horizontal-relative:page;mso-position-vertical-relative:paragraph;z-index:-15724544;mso-wrap-distance-left:0;mso-wrap-distance-right:0" type="#_x0000_t202" id="docshape7" filled="true" fillcolor="#f7f9f9" stroked="false">
                <v:textbox inset="0,0,0,0">
                  <w:txbxContent>
                    <w:p>
                      <w:pPr>
                        <w:spacing w:line="247" w:lineRule="exact" w:before="0"/>
                        <w:ind w:left="0" w:right="0" w:firstLine="0"/>
                        <w:jc w:val="center"/>
                        <w:rPr>
                          <w:rFonts w:ascii="Courier New" w:hAnsi="Courier New"/>
                          <w:color w:val="000000"/>
                          <w:sz w:val="19"/>
                        </w:rPr>
                      </w:pPr>
                      <w:r>
                        <w:rPr>
                          <w:rFonts w:ascii="Courier New" w:hAnsi="Courier New"/>
                          <w:color w:val="000000"/>
                          <w:sz w:val="19"/>
                        </w:rPr>
                        <w:t>Detector response </w:t>
                      </w:r>
                      <w:r>
                        <w:rPr>
                          <w:rFonts w:ascii="Symbol" w:hAnsi="Symbol"/>
                          <w:color w:val="000000"/>
                          <w:sz w:val="19"/>
                        </w:rPr>
                        <w:t></w:t>
                      </w:r>
                      <w:r>
                        <w:rPr>
                          <w:color w:val="000000"/>
                          <w:spacing w:val="66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z w:val="19"/>
                        </w:rPr>
                        <w:t>V(</w:t>
                      </w:r>
                      <w:r>
                        <w:rPr>
                          <w:rFonts w:ascii="Symbol" w:hAnsi="Symbol"/>
                          <w:color w:val="000000"/>
                          <w:sz w:val="19"/>
                        </w:rPr>
                        <w:t></w:t>
                      </w:r>
                      <w:r>
                        <w:rPr>
                          <w:rFonts w:ascii="Courier New" w:hAnsi="Courier New"/>
                          <w:color w:val="000000"/>
                          <w:sz w:val="19"/>
                        </w:rPr>
                        <w:t>) coherence filter (QMCTB-</w:t>
                      </w:r>
                      <w:r>
                        <w:rPr>
                          <w:rFonts w:ascii="Courier New" w:hAnsi="Courier New"/>
                          <w:color w:val="000000"/>
                          <w:spacing w:val="-5"/>
                          <w:sz w:val="19"/>
                        </w:rPr>
                        <w:t>02)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990600</wp:posOffset>
                </wp:positionH>
                <wp:positionV relativeFrom="paragraph">
                  <wp:posOffset>1471322</wp:posOffset>
                </wp:positionV>
                <wp:extent cx="5791200" cy="165100"/>
                <wp:effectExtent l="0" t="0" r="0" b="0"/>
                <wp:wrapTopAndBottom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5791200" cy="165100"/>
                        </a:xfrm>
                        <a:prstGeom prst="rect">
                          <a:avLst/>
                        </a:prstGeom>
                        <a:solidFill>
                          <a:srgbClr val="F7F9F9"/>
                        </a:solidFill>
                      </wps:spPr>
                      <wps:txbx>
                        <w:txbxContent>
                          <w:p>
                            <w:pPr>
                              <w:spacing w:line="232" w:lineRule="exact" w:before="0"/>
                              <w:ind w:left="0" w:right="0" w:firstLine="0"/>
                              <w:jc w:val="center"/>
                              <w:rPr>
                                <w:rFonts w:ascii="Symbol" w:hAnsi="Symbol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Symbol" w:hAnsi="Symbol"/>
                                <w:color w:val="000000"/>
                                <w:spacing w:val="-10"/>
                                <w:sz w:val="19"/>
                              </w:rPr>
                              <w:t>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pt;margin-top:115.85215pt;width:456pt;height:13pt;mso-position-horizontal-relative:page;mso-position-vertical-relative:paragraph;z-index:-15724032;mso-wrap-distance-left:0;mso-wrap-distance-right:0" type="#_x0000_t202" id="docshape8" filled="true" fillcolor="#f7f9f9" stroked="false">
                <v:textbox inset="0,0,0,0">
                  <w:txbxContent>
                    <w:p>
                      <w:pPr>
                        <w:spacing w:line="232" w:lineRule="exact" w:before="0"/>
                        <w:ind w:left="0" w:right="0" w:firstLine="0"/>
                        <w:jc w:val="center"/>
                        <w:rPr>
                          <w:rFonts w:ascii="Symbol" w:hAnsi="Symbol"/>
                          <w:color w:val="000000"/>
                          <w:sz w:val="19"/>
                        </w:rPr>
                      </w:pPr>
                      <w:r>
                        <w:rPr>
                          <w:rFonts w:ascii="Symbol" w:hAnsi="Symbol"/>
                          <w:color w:val="000000"/>
                          <w:spacing w:val="-10"/>
                          <w:sz w:val="19"/>
                        </w:rPr>
                        <w:t>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990600</wp:posOffset>
                </wp:positionH>
                <wp:positionV relativeFrom="paragraph">
                  <wp:posOffset>1738022</wp:posOffset>
                </wp:positionV>
                <wp:extent cx="5791200" cy="165100"/>
                <wp:effectExtent l="0" t="0" r="0" b="0"/>
                <wp:wrapTopAndBottom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5791200" cy="165100"/>
                        </a:xfrm>
                        <a:prstGeom prst="rect">
                          <a:avLst/>
                        </a:prstGeom>
                        <a:solidFill>
                          <a:srgbClr val="F7F9F9"/>
                        </a:solidFill>
                      </wps:spPr>
                      <wps:txbx>
                        <w:txbxContent>
                          <w:p>
                            <w:pPr>
                              <w:spacing w:before="32"/>
                              <w:ind w:left="0" w:right="0" w:firstLine="0"/>
                              <w:jc w:val="center"/>
                              <w:rPr>
                                <w:rFonts w:ascii="Courier New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9"/>
                              </w:rPr>
                              <w:t>Measurement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9"/>
                              </w:rPr>
                              <w:t>outcome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pt;margin-top:136.852142pt;width:456pt;height:13pt;mso-position-horizontal-relative:page;mso-position-vertical-relative:paragraph;z-index:-15723520;mso-wrap-distance-left:0;mso-wrap-distance-right:0" type="#_x0000_t202" id="docshape9" filled="true" fillcolor="#f7f9f9" stroked="false">
                <v:textbox inset="0,0,0,0">
                  <w:txbxContent>
                    <w:p>
                      <w:pPr>
                        <w:spacing w:before="32"/>
                        <w:ind w:left="0" w:right="0" w:firstLine="0"/>
                        <w:jc w:val="center"/>
                        <w:rPr>
                          <w:rFonts w:ascii="Courier New"/>
                          <w:color w:val="000000"/>
                          <w:sz w:val="19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9"/>
                        </w:rPr>
                        <w:t>Measurement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9"/>
                        </w:rPr>
                        <w:t>outcome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spacing w:before="63"/>
      </w:pPr>
    </w:p>
    <w:p>
      <w:pPr>
        <w:pStyle w:val="BodyText"/>
        <w:spacing w:line="312" w:lineRule="auto" w:before="0"/>
        <w:ind w:left="480" w:right="479"/>
        <w:jc w:val="both"/>
      </w:pPr>
      <w:r>
        <w:rPr/>
        <w:t>QMCTB-01 defines the causal layer; QMCTB-02 defines the coherence layer. Together they provide a complete, benchmarkable description of detector-plane measurement independent of quantum interpretation.</w:t>
      </w:r>
    </w:p>
    <w:p>
      <w:pPr>
        <w:pStyle w:val="BodyText"/>
        <w:spacing w:before="55"/>
      </w:pPr>
    </w:p>
    <w:p>
      <w:pPr>
        <w:pStyle w:val="Heading1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0" w:hanging="240"/>
        <w:jc w:val="left"/>
      </w:pPr>
      <w:r>
        <w:rPr>
          <w:color w:val="1A3A6B"/>
          <w:spacing w:val="-2"/>
        </w:rPr>
        <w:t>Conclusion</w:t>
      </w:r>
    </w:p>
    <w:p>
      <w:pPr>
        <w:pStyle w:val="BodyText"/>
        <w:spacing w:before="41"/>
        <w:ind w:left="480"/>
      </w:pPr>
      <w:r>
        <w:rPr/>
        <w:t>We have presented a detector-centred framework for quantum measurement with two key </w:t>
      </w:r>
      <w:r>
        <w:rPr>
          <w:spacing w:val="-2"/>
        </w:rPr>
        <w:t>results:</w:t>
      </w:r>
    </w:p>
    <w:p>
      <w:pPr>
        <w:pStyle w:val="ListParagraph"/>
        <w:numPr>
          <w:ilvl w:val="0"/>
          <w:numId w:val="2"/>
        </w:numPr>
        <w:tabs>
          <w:tab w:pos="1060" w:val="left" w:leader="none"/>
        </w:tabs>
        <w:spacing w:line="240" w:lineRule="auto" w:before="176" w:after="0"/>
        <w:ind w:left="1060" w:right="0" w:hanging="220"/>
        <w:jc w:val="left"/>
        <w:rPr>
          <w:sz w:val="20"/>
        </w:rPr>
      </w:pPr>
      <w:r>
        <w:rPr>
          <w:sz w:val="20"/>
        </w:rPr>
        <w:t>QMCTB-01: V(</w:t>
      </w:r>
      <w:r>
        <w:rPr>
          <w:rFonts w:ascii="Symbol" w:hAnsi="Symbol"/>
          <w:sz w:val="20"/>
        </w:rPr>
        <w:t></w:t>
      </w:r>
      <w:r>
        <w:rPr>
          <w:sz w:val="20"/>
        </w:rPr>
        <w:t>=0) = 0.966 ± 0.002 vs V(</w:t>
      </w:r>
      <w:r>
        <w:rPr>
          <w:rFonts w:ascii="Symbol" w:hAnsi="Symbol"/>
          <w:sz w:val="20"/>
        </w:rPr>
        <w:t></w:t>
      </w:r>
      <w:r>
        <w:rPr>
          <w:sz w:val="20"/>
        </w:rPr>
        <w:t>=</w:t>
      </w:r>
      <w:r>
        <w:rPr>
          <w:rFonts w:ascii="Symbol" w:hAnsi="Symbol"/>
          <w:sz w:val="20"/>
        </w:rPr>
        <w:t></w:t>
      </w:r>
      <w:r>
        <w:rPr>
          <w:sz w:val="20"/>
        </w:rPr>
        <w:t>) = 0.189 ± 0.032, contrast </w:t>
      </w:r>
      <w:r>
        <w:rPr>
          <w:spacing w:val="-4"/>
          <w:sz w:val="20"/>
        </w:rPr>
        <w:t>5.1×</w:t>
      </w:r>
    </w:p>
    <w:p>
      <w:pPr>
        <w:pStyle w:val="ListParagraph"/>
        <w:numPr>
          <w:ilvl w:val="0"/>
          <w:numId w:val="2"/>
        </w:numPr>
        <w:tabs>
          <w:tab w:pos="1060" w:val="left" w:leader="none"/>
        </w:tabs>
        <w:spacing w:line="240" w:lineRule="auto" w:before="95" w:after="0"/>
        <w:ind w:left="1060" w:right="0" w:hanging="220"/>
        <w:jc w:val="left"/>
        <w:rPr>
          <w:sz w:val="20"/>
        </w:rPr>
      </w:pPr>
      <w:r>
        <w:rPr>
          <w:sz w:val="20"/>
        </w:rPr>
        <w:t>QMCTB-02: sigmoid transfer function with </w:t>
      </w:r>
      <w:r>
        <w:rPr>
          <w:rFonts w:ascii="Symbol" w:hAnsi="Symbol"/>
          <w:sz w:val="20"/>
        </w:rPr>
        <w:t></w:t>
      </w:r>
      <w:r>
        <w:rPr>
          <w:position w:val="-9"/>
          <w:sz w:val="16"/>
        </w:rPr>
        <w:t>c</w:t>
      </w:r>
      <w:r>
        <w:rPr>
          <w:spacing w:val="10"/>
          <w:position w:val="-9"/>
          <w:sz w:val="16"/>
        </w:rPr>
        <w:t> </w:t>
      </w:r>
      <w:r>
        <w:rPr>
          <w:sz w:val="20"/>
        </w:rPr>
        <w:t>= 2.339 ± 0.009 rad, k = 5.01 ± 0.19, R² = </w:t>
      </w:r>
      <w:r>
        <w:rPr>
          <w:spacing w:val="-2"/>
          <w:sz w:val="20"/>
        </w:rPr>
        <w:t>0.9990</w:t>
      </w:r>
    </w:p>
    <w:p>
      <w:pPr>
        <w:pStyle w:val="BodyText"/>
        <w:spacing w:line="312" w:lineRule="auto" w:before="138"/>
        <w:ind w:left="480" w:right="478"/>
        <w:jc w:val="both"/>
      </w:pPr>
      <w:r>
        <w:rPr/>
        <w:t>These results are consistent with and supported by recent experimental work from MPQ [1], NIST </w:t>
      </w:r>
      <w:r>
        <w:rPr/>
        <w:t>[2], PsiQuantum [3], Fermilab [6], ENS/ETH [10], and the University of Glasgow [11]. This establishes detector coherence as a measurable, engineering-level control parameter for quantum measurement outcomes.</w:t>
      </w:r>
    </w:p>
    <w:p>
      <w:pPr>
        <w:pStyle w:val="BodyText"/>
        <w:spacing w:before="56"/>
      </w:pPr>
    </w:p>
    <w:p>
      <w:pPr>
        <w:pStyle w:val="Heading1"/>
        <w:ind w:left="480" w:firstLine="0"/>
      </w:pPr>
      <w:r>
        <w:rPr>
          <w:color w:val="1A3A6B"/>
        </w:rPr>
        <w:t>Data </w:t>
      </w:r>
      <w:r>
        <w:rPr>
          <w:color w:val="1A3A6B"/>
          <w:spacing w:val="-2"/>
        </w:rPr>
        <w:t>Availability</w:t>
      </w:r>
    </w:p>
    <w:p>
      <w:pPr>
        <w:pStyle w:val="BodyText"/>
        <w:spacing w:before="27"/>
        <w:ind w:left="480"/>
      </w:pPr>
      <w:r>
        <w:rPr/>
        <w:t>Simulation code, benchmark artifacts, V(</w:t>
      </w:r>
      <w:r>
        <w:rPr>
          <w:rFonts w:ascii="Symbol" w:hAnsi="Symbol"/>
        </w:rPr>
        <w:t></w:t>
      </w:r>
      <w:r>
        <w:rPr/>
        <w:t>) dataset, and sigmoid fit are available </w:t>
      </w:r>
      <w:r>
        <w:rPr>
          <w:spacing w:val="-5"/>
        </w:rPr>
        <w:t>at:</w:t>
      </w:r>
    </w:p>
    <w:p>
      <w:pPr>
        <w:pStyle w:val="ListParagraph"/>
        <w:numPr>
          <w:ilvl w:val="0"/>
          <w:numId w:val="2"/>
        </w:numPr>
        <w:tabs>
          <w:tab w:pos="1060" w:val="left" w:leader="none"/>
        </w:tabs>
        <w:spacing w:line="240" w:lineRule="auto" w:before="190" w:after="0"/>
        <w:ind w:left="1060" w:right="0" w:hanging="220"/>
        <w:jc w:val="left"/>
        <w:rPr>
          <w:sz w:val="20"/>
        </w:rPr>
      </w:pPr>
      <w:r>
        <w:rPr>
          <w:sz w:val="20"/>
        </w:rPr>
        <w:t>Primary release: </w:t>
      </w:r>
      <w:r>
        <w:rPr>
          <w:spacing w:val="-2"/>
          <w:sz w:val="20"/>
        </w:rPr>
        <w:t>https://doi.org/10.5281/zenodo.19147730</w:t>
      </w:r>
    </w:p>
    <w:p>
      <w:pPr>
        <w:pStyle w:val="ListParagraph"/>
        <w:numPr>
          <w:ilvl w:val="0"/>
          <w:numId w:val="2"/>
        </w:numPr>
        <w:tabs>
          <w:tab w:pos="1060" w:val="left" w:leader="none"/>
        </w:tabs>
        <w:spacing w:line="240" w:lineRule="auto" w:before="110" w:after="0"/>
        <w:ind w:left="1060" w:right="0" w:hanging="220"/>
        <w:jc w:val="left"/>
        <w:rPr>
          <w:sz w:val="20"/>
        </w:rPr>
      </w:pPr>
      <w:r>
        <w:rPr>
          <w:sz w:val="20"/>
        </w:rPr>
        <w:t>Repository: https://github.com/srikarr20/detector-plane-</w:t>
      </w:r>
      <w:r>
        <w:rPr>
          <w:spacing w:val="-2"/>
          <w:sz w:val="20"/>
        </w:rPr>
        <w:t>imaging</w:t>
      </w:r>
    </w:p>
    <w:p>
      <w:pPr>
        <w:pStyle w:val="ListParagraph"/>
        <w:numPr>
          <w:ilvl w:val="0"/>
          <w:numId w:val="2"/>
        </w:numPr>
        <w:tabs>
          <w:tab w:pos="1060" w:val="left" w:leader="none"/>
        </w:tabs>
        <w:spacing w:line="422" w:lineRule="auto" w:before="110" w:after="0"/>
        <w:ind w:left="480" w:right="3274" w:firstLine="36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990600</wp:posOffset>
                </wp:positionH>
                <wp:positionV relativeFrom="paragraph">
                  <wp:posOffset>626470</wp:posOffset>
                </wp:positionV>
                <wp:extent cx="5791200" cy="1270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5791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0">
                              <a:moveTo>
                                <a:pt x="0" y="0"/>
                              </a:moveTo>
                              <a:lnTo>
                                <a:pt x="57912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pt;margin-top:49.328419pt;width:456pt;height:.1pt;mso-position-horizontal-relative:page;mso-position-vertical-relative:paragraph;z-index:-15723008;mso-wrap-distance-left:0;mso-wrap-distance-right:0" id="docshape10" coordorigin="1560,987" coordsize="9120,0" path="m1560,987l10680,987e" filled="false" stroked="true" strokeweight=".5pt" strokecolor="#cccccc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w:t>QMCTB benchmarks: https://doi.org/10.5281/zenodo.19153014 Reproducible</w:t>
      </w:r>
      <w:r>
        <w:rPr>
          <w:spacing w:val="-4"/>
          <w:sz w:val="20"/>
        </w:rPr>
        <w:t> </w:t>
      </w:r>
      <w:r>
        <w:rPr>
          <w:sz w:val="20"/>
        </w:rPr>
        <w:t>with</w:t>
      </w:r>
      <w:r>
        <w:rPr>
          <w:spacing w:val="-4"/>
          <w:sz w:val="20"/>
        </w:rPr>
        <w:t> </w:t>
      </w:r>
      <w:r>
        <w:rPr>
          <w:sz w:val="20"/>
        </w:rPr>
        <w:t>numpy</w:t>
      </w:r>
      <w:r>
        <w:rPr>
          <w:spacing w:val="-4"/>
          <w:sz w:val="20"/>
        </w:rPr>
        <w:t> </w:t>
      </w:r>
      <w:r>
        <w:rPr>
          <w:rFonts w:ascii="Symbol" w:hAnsi="Symbol"/>
          <w:sz w:val="20"/>
        </w:rPr>
        <w:t></w:t>
      </w:r>
      <w:r>
        <w:rPr>
          <w:spacing w:val="-4"/>
          <w:sz w:val="20"/>
        </w:rPr>
        <w:t> </w:t>
      </w:r>
      <w:r>
        <w:rPr>
          <w:sz w:val="20"/>
        </w:rPr>
        <w:t>1.24,</w:t>
      </w:r>
      <w:r>
        <w:rPr>
          <w:spacing w:val="-4"/>
          <w:sz w:val="20"/>
        </w:rPr>
        <w:t> </w:t>
      </w:r>
      <w:r>
        <w:rPr>
          <w:sz w:val="20"/>
        </w:rPr>
        <w:t>matplotlib</w:t>
      </w:r>
      <w:r>
        <w:rPr>
          <w:spacing w:val="-4"/>
          <w:sz w:val="20"/>
        </w:rPr>
        <w:t> </w:t>
      </w:r>
      <w:r>
        <w:rPr>
          <w:rFonts w:ascii="Symbol" w:hAnsi="Symbol"/>
          <w:sz w:val="20"/>
        </w:rPr>
        <w:t></w:t>
      </w:r>
      <w:r>
        <w:rPr>
          <w:spacing w:val="-4"/>
          <w:sz w:val="20"/>
        </w:rPr>
        <w:t> </w:t>
      </w:r>
      <w:r>
        <w:rPr>
          <w:sz w:val="20"/>
        </w:rPr>
        <w:t>3.6,</w:t>
      </w:r>
      <w:r>
        <w:rPr>
          <w:spacing w:val="-4"/>
          <w:sz w:val="20"/>
        </w:rPr>
        <w:t> </w:t>
      </w:r>
      <w:r>
        <w:rPr>
          <w:sz w:val="20"/>
        </w:rPr>
        <w:t>scipy</w:t>
      </w:r>
      <w:r>
        <w:rPr>
          <w:spacing w:val="-4"/>
          <w:sz w:val="20"/>
        </w:rPr>
        <w:t> </w:t>
      </w:r>
      <w:r>
        <w:rPr>
          <w:rFonts w:ascii="Symbol" w:hAnsi="Symbol"/>
          <w:sz w:val="20"/>
        </w:rPr>
        <w:t></w:t>
      </w:r>
      <w:r>
        <w:rPr>
          <w:spacing w:val="-4"/>
          <w:sz w:val="20"/>
        </w:rPr>
        <w:t> </w:t>
      </w:r>
      <w:r>
        <w:rPr>
          <w:sz w:val="20"/>
        </w:rPr>
        <w:t>1.10</w:t>
      </w:r>
      <w:r>
        <w:rPr>
          <w:spacing w:val="-4"/>
          <w:sz w:val="20"/>
        </w:rPr>
        <w:t> </w:t>
      </w:r>
      <w:r>
        <w:rPr>
          <w:sz w:val="20"/>
        </w:rPr>
        <w:t>(Python</w:t>
      </w:r>
      <w:r>
        <w:rPr>
          <w:spacing w:val="-4"/>
          <w:sz w:val="20"/>
        </w:rPr>
        <w:t> </w:t>
      </w:r>
      <w:r>
        <w:rPr>
          <w:sz w:val="20"/>
        </w:rPr>
        <w:t>3.9+).</w:t>
      </w:r>
    </w:p>
    <w:p>
      <w:pPr>
        <w:pStyle w:val="BodyText"/>
        <w:spacing w:before="14"/>
        <w:rPr>
          <w:sz w:val="24"/>
        </w:rPr>
      </w:pPr>
    </w:p>
    <w:p>
      <w:pPr>
        <w:pStyle w:val="Heading1"/>
        <w:spacing w:before="1"/>
        <w:ind w:left="480" w:firstLine="0"/>
      </w:pPr>
      <w:r>
        <w:rPr>
          <w:color w:val="1A3A6B"/>
          <w:spacing w:val="-2"/>
        </w:rPr>
        <w:t>References</w:t>
      </w:r>
    </w:p>
    <w:p>
      <w:pPr>
        <w:pStyle w:val="ListParagraph"/>
        <w:numPr>
          <w:ilvl w:val="0"/>
          <w:numId w:val="3"/>
        </w:numPr>
        <w:tabs>
          <w:tab w:pos="797" w:val="left" w:leader="none"/>
          <w:tab w:pos="960" w:val="left" w:leader="none"/>
        </w:tabs>
        <w:spacing w:line="295" w:lineRule="auto" w:before="119" w:after="0"/>
        <w:ind w:left="960" w:right="478" w:hanging="480"/>
        <w:jc w:val="left"/>
        <w:rPr>
          <w:sz w:val="17"/>
        </w:rPr>
      </w:pPr>
      <w:r>
        <w:rPr>
          <w:sz w:val="17"/>
        </w:rPr>
        <w:t>Xu, X., Chen, B.-Y., Hänsch, T. W., &amp; Picqué, N. (2024). Near-ultraviolet photon-counting dual-comb spectroscopy. </w:t>
      </w:r>
      <w:r>
        <w:rPr>
          <w:i/>
          <w:sz w:val="17"/>
        </w:rPr>
        <w:t>Nature</w:t>
      </w:r>
      <w:r>
        <w:rPr>
          <w:sz w:val="17"/>
        </w:rPr>
        <w:t>,</w:t>
      </w:r>
      <w:r>
        <w:rPr>
          <w:spacing w:val="80"/>
          <w:sz w:val="17"/>
        </w:rPr>
        <w:t> </w:t>
      </w:r>
      <w:r>
        <w:rPr>
          <w:sz w:val="17"/>
        </w:rPr>
        <w:t>627, 289–294. DOI: 10.1038/s41586-024-07094-9</w:t>
      </w:r>
    </w:p>
    <w:p>
      <w:pPr>
        <w:pStyle w:val="ListParagraph"/>
        <w:numPr>
          <w:ilvl w:val="0"/>
          <w:numId w:val="3"/>
        </w:numPr>
        <w:tabs>
          <w:tab w:pos="782" w:val="left" w:leader="none"/>
          <w:tab w:pos="960" w:val="left" w:leader="none"/>
        </w:tabs>
        <w:spacing w:line="295" w:lineRule="auto" w:before="59" w:after="0"/>
        <w:ind w:left="960" w:right="478" w:hanging="480"/>
        <w:jc w:val="left"/>
        <w:rPr>
          <w:sz w:val="17"/>
        </w:rPr>
      </w:pPr>
      <w:r>
        <w:rPr>
          <w:sz w:val="17"/>
        </w:rPr>
        <w:t>Grünenfelder, L., Boaron, A., Resta, G. V., et al. (2023). Fast single-photon detectors and real-time key distillation enable high secret-key-rate QKD. </w:t>
      </w:r>
      <w:r>
        <w:rPr>
          <w:i/>
          <w:sz w:val="17"/>
        </w:rPr>
        <w:t>Nature Photonics</w:t>
      </w:r>
      <w:r>
        <w:rPr>
          <w:sz w:val="17"/>
        </w:rPr>
        <w:t>, 17, 422–426. DOI: 10.1038/s41566-023-01168-2</w:t>
      </w:r>
    </w:p>
    <w:p>
      <w:pPr>
        <w:pStyle w:val="ListParagraph"/>
        <w:numPr>
          <w:ilvl w:val="0"/>
          <w:numId w:val="3"/>
        </w:numPr>
        <w:tabs>
          <w:tab w:pos="960" w:val="left" w:leader="none"/>
          <w:tab w:pos="1048" w:val="left" w:leader="none"/>
        </w:tabs>
        <w:spacing w:line="295" w:lineRule="auto" w:before="59" w:after="0"/>
        <w:ind w:left="960" w:right="478" w:hanging="480"/>
        <w:jc w:val="left"/>
        <w:rPr>
          <w:sz w:val="17"/>
        </w:rPr>
      </w:pPr>
      <w:r>
        <w:rPr>
          <w:sz w:val="17"/>
        </w:rPr>
        <w:tab/>
        <w:t>PsiQuantum</w:t>
      </w:r>
      <w:r>
        <w:rPr>
          <w:spacing w:val="40"/>
          <w:sz w:val="17"/>
        </w:rPr>
        <w:t>  </w:t>
      </w:r>
      <w:r>
        <w:rPr>
          <w:sz w:val="17"/>
        </w:rPr>
        <w:t>Team</w:t>
      </w:r>
      <w:r>
        <w:rPr>
          <w:spacing w:val="40"/>
          <w:sz w:val="17"/>
        </w:rPr>
        <w:t>  </w:t>
      </w:r>
      <w:r>
        <w:rPr>
          <w:sz w:val="17"/>
        </w:rPr>
        <w:t>(2025).</w:t>
      </w:r>
      <w:r>
        <w:rPr>
          <w:spacing w:val="40"/>
          <w:sz w:val="17"/>
        </w:rPr>
        <w:t>  </w:t>
      </w:r>
      <w:r>
        <w:rPr>
          <w:sz w:val="17"/>
        </w:rPr>
        <w:t>A</w:t>
      </w:r>
      <w:r>
        <w:rPr>
          <w:spacing w:val="40"/>
          <w:sz w:val="17"/>
        </w:rPr>
        <w:t>  </w:t>
      </w:r>
      <w:r>
        <w:rPr>
          <w:sz w:val="17"/>
        </w:rPr>
        <w:t>manufacturable</w:t>
      </w:r>
      <w:r>
        <w:rPr>
          <w:spacing w:val="40"/>
          <w:sz w:val="17"/>
        </w:rPr>
        <w:t>  </w:t>
      </w:r>
      <w:r>
        <w:rPr>
          <w:sz w:val="17"/>
        </w:rPr>
        <w:t>platform</w:t>
      </w:r>
      <w:r>
        <w:rPr>
          <w:spacing w:val="40"/>
          <w:sz w:val="17"/>
        </w:rPr>
        <w:t>  </w:t>
      </w:r>
      <w:r>
        <w:rPr>
          <w:sz w:val="17"/>
        </w:rPr>
        <w:t>for</w:t>
      </w:r>
      <w:r>
        <w:rPr>
          <w:spacing w:val="40"/>
          <w:sz w:val="17"/>
        </w:rPr>
        <w:t>  </w:t>
      </w:r>
      <w:r>
        <w:rPr>
          <w:sz w:val="17"/>
        </w:rPr>
        <w:t>photonic</w:t>
      </w:r>
      <w:r>
        <w:rPr>
          <w:spacing w:val="40"/>
          <w:sz w:val="17"/>
        </w:rPr>
        <w:t>  </w:t>
      </w:r>
      <w:r>
        <w:rPr>
          <w:sz w:val="17"/>
        </w:rPr>
        <w:t>quantum</w:t>
      </w:r>
      <w:r>
        <w:rPr>
          <w:spacing w:val="40"/>
          <w:sz w:val="17"/>
        </w:rPr>
        <w:t>  </w:t>
      </w:r>
      <w:r>
        <w:rPr>
          <w:sz w:val="17"/>
        </w:rPr>
        <w:t>computing.</w:t>
      </w:r>
      <w:r>
        <w:rPr>
          <w:spacing w:val="40"/>
          <w:sz w:val="17"/>
        </w:rPr>
        <w:t>  </w:t>
      </w:r>
      <w:r>
        <w:rPr>
          <w:i/>
          <w:sz w:val="17"/>
        </w:rPr>
        <w:t>Nature</w:t>
      </w:r>
      <w:r>
        <w:rPr>
          <w:sz w:val="17"/>
        </w:rPr>
        <w:t>.</w:t>
      </w:r>
      <w:r>
        <w:rPr>
          <w:spacing w:val="40"/>
          <w:sz w:val="17"/>
        </w:rPr>
        <w:t>  </w:t>
      </w:r>
      <w:r>
        <w:rPr>
          <w:sz w:val="17"/>
        </w:rPr>
        <w:t>DOI:</w:t>
      </w:r>
      <w:r>
        <w:rPr>
          <w:spacing w:val="40"/>
          <w:sz w:val="17"/>
        </w:rPr>
        <w:t> </w:t>
      </w:r>
      <w:r>
        <w:rPr>
          <w:spacing w:val="-2"/>
          <w:sz w:val="17"/>
        </w:rPr>
        <w:t>10.1038/s41586-025-08820-7</w:t>
      </w:r>
    </w:p>
    <w:p>
      <w:pPr>
        <w:pStyle w:val="ListParagraph"/>
        <w:numPr>
          <w:ilvl w:val="0"/>
          <w:numId w:val="3"/>
        </w:numPr>
        <w:tabs>
          <w:tab w:pos="789" w:val="left" w:leader="none"/>
          <w:tab w:pos="960" w:val="left" w:leader="none"/>
        </w:tabs>
        <w:spacing w:line="295" w:lineRule="auto" w:before="59" w:after="0"/>
        <w:ind w:left="960" w:right="478" w:hanging="480"/>
        <w:jc w:val="left"/>
        <w:rPr>
          <w:sz w:val="17"/>
        </w:rPr>
      </w:pPr>
      <w:r>
        <w:rPr>
          <w:sz w:val="17"/>
        </w:rPr>
        <w:t>Srikar R. (2026). Detector-Plane Imaging (DPI): An Instrumentation-Grounded Measurement-Plane Framework. </w:t>
      </w:r>
      <w:r>
        <w:rPr>
          <w:i/>
          <w:sz w:val="17"/>
        </w:rPr>
        <w:t>Zenodo</w:t>
      </w:r>
      <w:r>
        <w:rPr>
          <w:sz w:val="17"/>
        </w:rPr>
        <w:t>. </w:t>
      </w:r>
      <w:r>
        <w:rPr>
          <w:sz w:val="17"/>
        </w:rPr>
        <w:t>DOI: </w:t>
      </w:r>
      <w:r>
        <w:rPr>
          <w:spacing w:val="-2"/>
          <w:sz w:val="17"/>
        </w:rPr>
        <w:t>10.5281/zenodo.19105059</w:t>
      </w:r>
    </w:p>
    <w:p>
      <w:pPr>
        <w:pStyle w:val="ListParagraph"/>
        <w:spacing w:after="0" w:line="295" w:lineRule="auto"/>
        <w:jc w:val="left"/>
        <w:rPr>
          <w:sz w:val="17"/>
        </w:rPr>
        <w:sectPr>
          <w:pgSz w:w="12240" w:h="15840"/>
          <w:pgMar w:top="1500" w:bottom="280" w:left="1080" w:right="1080"/>
        </w:sectPr>
      </w:pPr>
    </w:p>
    <w:p>
      <w:pPr>
        <w:pStyle w:val="ListParagraph"/>
        <w:numPr>
          <w:ilvl w:val="0"/>
          <w:numId w:val="3"/>
        </w:numPr>
        <w:tabs>
          <w:tab w:pos="763" w:val="left" w:leader="none"/>
        </w:tabs>
        <w:spacing w:line="240" w:lineRule="auto" w:before="71" w:after="0"/>
        <w:ind w:left="763" w:right="0" w:hanging="283"/>
        <w:jc w:val="left"/>
        <w:rPr>
          <w:sz w:val="17"/>
        </w:rPr>
      </w:pPr>
      <w:r>
        <w:rPr>
          <w:sz w:val="17"/>
        </w:rPr>
        <w:t>Srikar R. (2026). The Imprint Hypothesis: Particle Emergence and Wave Contextuality. </w:t>
      </w:r>
      <w:r>
        <w:rPr>
          <w:i/>
          <w:sz w:val="17"/>
        </w:rPr>
        <w:t>Zenodo</w:t>
      </w:r>
      <w:r>
        <w:rPr>
          <w:sz w:val="17"/>
        </w:rPr>
        <w:t>. DOI: </w:t>
      </w:r>
      <w:r>
        <w:rPr>
          <w:spacing w:val="-2"/>
          <w:sz w:val="17"/>
        </w:rPr>
        <w:t>10.5281/zenodo.18994419</w:t>
      </w:r>
    </w:p>
    <w:p>
      <w:pPr>
        <w:pStyle w:val="ListParagraph"/>
        <w:numPr>
          <w:ilvl w:val="0"/>
          <w:numId w:val="3"/>
        </w:numPr>
        <w:tabs>
          <w:tab w:pos="764" w:val="left" w:leader="none"/>
          <w:tab w:pos="960" w:val="left" w:leader="none"/>
        </w:tabs>
        <w:spacing w:line="295" w:lineRule="auto" w:before="105" w:after="0"/>
        <w:ind w:left="960" w:right="479" w:hanging="480"/>
        <w:jc w:val="left"/>
        <w:rPr>
          <w:sz w:val="17"/>
        </w:rPr>
      </w:pPr>
      <w:r>
        <w:rPr>
          <w:sz w:val="17"/>
        </w:rPr>
        <w:t>Pears</w:t>
      </w:r>
      <w:r>
        <w:rPr>
          <w:spacing w:val="-2"/>
          <w:sz w:val="17"/>
        </w:rPr>
        <w:t> </w:t>
      </w:r>
      <w:r>
        <w:rPr>
          <w:sz w:val="17"/>
        </w:rPr>
        <w:t>Stefano,</w:t>
      </w:r>
      <w:r>
        <w:rPr>
          <w:spacing w:val="-2"/>
          <w:sz w:val="17"/>
        </w:rPr>
        <w:t> </w:t>
      </w:r>
      <w:r>
        <w:rPr>
          <w:sz w:val="17"/>
        </w:rPr>
        <w:t>P.,</w:t>
      </w:r>
      <w:r>
        <w:rPr>
          <w:spacing w:val="-2"/>
          <w:sz w:val="17"/>
        </w:rPr>
        <w:t> </w:t>
      </w:r>
      <w:r>
        <w:rPr>
          <w:sz w:val="17"/>
        </w:rPr>
        <w:t>Tiffenberg,</w:t>
      </w:r>
      <w:r>
        <w:rPr>
          <w:spacing w:val="-2"/>
          <w:sz w:val="17"/>
        </w:rPr>
        <w:t> </w:t>
      </w:r>
      <w:r>
        <w:rPr>
          <w:sz w:val="17"/>
        </w:rPr>
        <w:t>J.,</w:t>
      </w:r>
      <w:r>
        <w:rPr>
          <w:spacing w:val="-2"/>
          <w:sz w:val="17"/>
        </w:rPr>
        <w:t> </w:t>
      </w:r>
      <w:r>
        <w:rPr>
          <w:sz w:val="17"/>
        </w:rPr>
        <w:t>et</w:t>
      </w:r>
      <w:r>
        <w:rPr>
          <w:spacing w:val="-2"/>
          <w:sz w:val="17"/>
        </w:rPr>
        <w:t> </w:t>
      </w:r>
      <w:r>
        <w:rPr>
          <w:sz w:val="17"/>
        </w:rPr>
        <w:t>al.</w:t>
      </w:r>
      <w:r>
        <w:rPr>
          <w:spacing w:val="-2"/>
          <w:sz w:val="17"/>
        </w:rPr>
        <w:t> </w:t>
      </w:r>
      <w:r>
        <w:rPr>
          <w:sz w:val="17"/>
        </w:rPr>
        <w:t>(2024).</w:t>
      </w:r>
      <w:r>
        <w:rPr>
          <w:spacing w:val="-2"/>
          <w:sz w:val="17"/>
        </w:rPr>
        <w:t> </w:t>
      </w:r>
      <w:r>
        <w:rPr>
          <w:sz w:val="17"/>
        </w:rPr>
        <w:t>Point-diffraction</w:t>
      </w:r>
      <w:r>
        <w:rPr>
          <w:spacing w:val="-2"/>
          <w:sz w:val="17"/>
        </w:rPr>
        <w:t> </w:t>
      </w:r>
      <w:r>
        <w:rPr>
          <w:sz w:val="17"/>
        </w:rPr>
        <w:t>interferometry</w:t>
      </w:r>
      <w:r>
        <w:rPr>
          <w:spacing w:val="-2"/>
          <w:sz w:val="17"/>
        </w:rPr>
        <w:t> </w:t>
      </w:r>
      <w:r>
        <w:rPr>
          <w:sz w:val="17"/>
        </w:rPr>
        <w:t>at</w:t>
      </w:r>
      <w:r>
        <w:rPr>
          <w:spacing w:val="-2"/>
          <w:sz w:val="17"/>
        </w:rPr>
        <w:t> </w:t>
      </w:r>
      <w:r>
        <w:rPr>
          <w:sz w:val="17"/>
        </w:rPr>
        <w:t>the</w:t>
      </w:r>
      <w:r>
        <w:rPr>
          <w:spacing w:val="-2"/>
          <w:sz w:val="17"/>
        </w:rPr>
        <w:t> </w:t>
      </w:r>
      <w:r>
        <w:rPr>
          <w:sz w:val="17"/>
        </w:rPr>
        <w:t>photon</w:t>
      </w:r>
      <w:r>
        <w:rPr>
          <w:spacing w:val="-2"/>
          <w:sz w:val="17"/>
        </w:rPr>
        <w:t> </w:t>
      </w:r>
      <w:r>
        <w:rPr>
          <w:sz w:val="17"/>
        </w:rPr>
        <w:t>noise</w:t>
      </w:r>
      <w:r>
        <w:rPr>
          <w:spacing w:val="-2"/>
          <w:sz w:val="17"/>
        </w:rPr>
        <w:t> </w:t>
      </w:r>
      <w:r>
        <w:rPr>
          <w:sz w:val="17"/>
        </w:rPr>
        <w:t>limit.</w:t>
      </w:r>
      <w:r>
        <w:rPr>
          <w:spacing w:val="-2"/>
          <w:sz w:val="17"/>
        </w:rPr>
        <w:t> </w:t>
      </w:r>
      <w:r>
        <w:rPr>
          <w:i/>
          <w:sz w:val="17"/>
        </w:rPr>
        <w:t>Physical</w:t>
      </w:r>
      <w:r>
        <w:rPr>
          <w:i/>
          <w:spacing w:val="-2"/>
          <w:sz w:val="17"/>
        </w:rPr>
        <w:t> </w:t>
      </w:r>
      <w:r>
        <w:rPr>
          <w:i/>
          <w:sz w:val="17"/>
        </w:rPr>
        <w:t>Review</w:t>
      </w:r>
      <w:r>
        <w:rPr>
          <w:i/>
          <w:spacing w:val="-2"/>
          <w:sz w:val="17"/>
        </w:rPr>
        <w:t> </w:t>
      </w:r>
      <w:r>
        <w:rPr>
          <w:i/>
          <w:sz w:val="17"/>
        </w:rPr>
        <w:t>Applied</w:t>
      </w:r>
      <w:r>
        <w:rPr>
          <w:sz w:val="17"/>
        </w:rPr>
        <w:t>, 21, 064050. DOI: 10.1103/PhysRevApplied.21.064050</w:t>
      </w:r>
    </w:p>
    <w:p>
      <w:pPr>
        <w:pStyle w:val="ListParagraph"/>
        <w:numPr>
          <w:ilvl w:val="0"/>
          <w:numId w:val="3"/>
        </w:numPr>
        <w:tabs>
          <w:tab w:pos="763" w:val="left" w:leader="none"/>
        </w:tabs>
        <w:spacing w:line="240" w:lineRule="auto" w:before="59" w:after="0"/>
        <w:ind w:left="763" w:right="0" w:hanging="283"/>
        <w:jc w:val="left"/>
        <w:rPr>
          <w:sz w:val="17"/>
        </w:rPr>
      </w:pPr>
      <w:r>
        <w:rPr>
          <w:sz w:val="17"/>
        </w:rPr>
        <w:t>Shannon, C. E. (1948). A mathematical theory of communication. </w:t>
      </w:r>
      <w:r>
        <w:rPr>
          <w:i/>
          <w:sz w:val="17"/>
        </w:rPr>
        <w:t>Bell System Technical Journal</w:t>
      </w:r>
      <w:r>
        <w:rPr>
          <w:sz w:val="17"/>
        </w:rPr>
        <w:t>, 27, </w:t>
      </w:r>
      <w:r>
        <w:rPr>
          <w:spacing w:val="-2"/>
          <w:sz w:val="17"/>
        </w:rPr>
        <w:t>379–423.</w:t>
      </w:r>
    </w:p>
    <w:p>
      <w:pPr>
        <w:pStyle w:val="ListParagraph"/>
        <w:numPr>
          <w:ilvl w:val="0"/>
          <w:numId w:val="3"/>
        </w:numPr>
        <w:tabs>
          <w:tab w:pos="763" w:val="left" w:leader="none"/>
        </w:tabs>
        <w:spacing w:line="240" w:lineRule="auto" w:before="104" w:after="0"/>
        <w:ind w:left="763" w:right="0" w:hanging="283"/>
        <w:jc w:val="left"/>
        <w:rPr>
          <w:sz w:val="17"/>
        </w:rPr>
      </w:pPr>
      <w:r>
        <w:rPr>
          <w:sz w:val="17"/>
        </w:rPr>
        <w:t>Lyons, R. G. (2010). </w:t>
      </w:r>
      <w:r>
        <w:rPr>
          <w:i/>
          <w:sz w:val="17"/>
        </w:rPr>
        <w:t>Understanding Digital Signal Processing </w:t>
      </w:r>
      <w:r>
        <w:rPr>
          <w:sz w:val="17"/>
        </w:rPr>
        <w:t>(3rd ed.). Prentice </w:t>
      </w:r>
      <w:r>
        <w:rPr>
          <w:spacing w:val="-2"/>
          <w:sz w:val="17"/>
        </w:rPr>
        <w:t>Hall.</w:t>
      </w:r>
    </w:p>
    <w:p>
      <w:pPr>
        <w:pStyle w:val="ListParagraph"/>
        <w:numPr>
          <w:ilvl w:val="0"/>
          <w:numId w:val="3"/>
        </w:numPr>
        <w:tabs>
          <w:tab w:pos="818" w:val="left" w:leader="none"/>
          <w:tab w:pos="960" w:val="left" w:leader="none"/>
        </w:tabs>
        <w:spacing w:line="295" w:lineRule="auto" w:before="105" w:after="0"/>
        <w:ind w:left="960" w:right="478" w:hanging="480"/>
        <w:jc w:val="left"/>
        <w:rPr>
          <w:sz w:val="17"/>
        </w:rPr>
      </w:pPr>
      <w:r>
        <w:rPr>
          <w:sz w:val="17"/>
        </w:rPr>
        <w:t>Eisaman,</w:t>
      </w:r>
      <w:r>
        <w:rPr>
          <w:spacing w:val="25"/>
          <w:sz w:val="17"/>
        </w:rPr>
        <w:t> </w:t>
      </w:r>
      <w:r>
        <w:rPr>
          <w:sz w:val="17"/>
        </w:rPr>
        <w:t>M.</w:t>
      </w:r>
      <w:r>
        <w:rPr>
          <w:spacing w:val="25"/>
          <w:sz w:val="17"/>
        </w:rPr>
        <w:t> </w:t>
      </w:r>
      <w:r>
        <w:rPr>
          <w:sz w:val="17"/>
        </w:rPr>
        <w:t>D.,</w:t>
      </w:r>
      <w:r>
        <w:rPr>
          <w:spacing w:val="25"/>
          <w:sz w:val="17"/>
        </w:rPr>
        <w:t> </w:t>
      </w:r>
      <w:r>
        <w:rPr>
          <w:sz w:val="17"/>
        </w:rPr>
        <w:t>Fan,</w:t>
      </w:r>
      <w:r>
        <w:rPr>
          <w:spacing w:val="25"/>
          <w:sz w:val="17"/>
        </w:rPr>
        <w:t> </w:t>
      </w:r>
      <w:r>
        <w:rPr>
          <w:sz w:val="17"/>
        </w:rPr>
        <w:t>J.,</w:t>
      </w:r>
      <w:r>
        <w:rPr>
          <w:spacing w:val="25"/>
          <w:sz w:val="17"/>
        </w:rPr>
        <w:t> </w:t>
      </w:r>
      <w:r>
        <w:rPr>
          <w:sz w:val="17"/>
        </w:rPr>
        <w:t>Migdall,</w:t>
      </w:r>
      <w:r>
        <w:rPr>
          <w:spacing w:val="25"/>
          <w:sz w:val="17"/>
        </w:rPr>
        <w:t> </w:t>
      </w:r>
      <w:r>
        <w:rPr>
          <w:sz w:val="17"/>
        </w:rPr>
        <w:t>A.,</w:t>
      </w:r>
      <w:r>
        <w:rPr>
          <w:spacing w:val="25"/>
          <w:sz w:val="17"/>
        </w:rPr>
        <w:t> </w:t>
      </w:r>
      <w:r>
        <w:rPr>
          <w:sz w:val="17"/>
        </w:rPr>
        <w:t>&amp;</w:t>
      </w:r>
      <w:r>
        <w:rPr>
          <w:spacing w:val="25"/>
          <w:sz w:val="17"/>
        </w:rPr>
        <w:t> </w:t>
      </w:r>
      <w:r>
        <w:rPr>
          <w:sz w:val="17"/>
        </w:rPr>
        <w:t>Polyakov,</w:t>
      </w:r>
      <w:r>
        <w:rPr>
          <w:spacing w:val="25"/>
          <w:sz w:val="17"/>
        </w:rPr>
        <w:t> </w:t>
      </w:r>
      <w:r>
        <w:rPr>
          <w:sz w:val="17"/>
        </w:rPr>
        <w:t>S.</w:t>
      </w:r>
      <w:r>
        <w:rPr>
          <w:spacing w:val="25"/>
          <w:sz w:val="17"/>
        </w:rPr>
        <w:t> </w:t>
      </w:r>
      <w:r>
        <w:rPr>
          <w:sz w:val="17"/>
        </w:rPr>
        <w:t>V.</w:t>
      </w:r>
      <w:r>
        <w:rPr>
          <w:spacing w:val="25"/>
          <w:sz w:val="17"/>
        </w:rPr>
        <w:t> </w:t>
      </w:r>
      <w:r>
        <w:rPr>
          <w:sz w:val="17"/>
        </w:rPr>
        <w:t>(2011).</w:t>
      </w:r>
      <w:r>
        <w:rPr>
          <w:spacing w:val="25"/>
          <w:sz w:val="17"/>
        </w:rPr>
        <w:t> </w:t>
      </w:r>
      <w:r>
        <w:rPr>
          <w:sz w:val="17"/>
        </w:rPr>
        <w:t>Single-photon</w:t>
      </w:r>
      <w:r>
        <w:rPr>
          <w:spacing w:val="25"/>
          <w:sz w:val="17"/>
        </w:rPr>
        <w:t> </w:t>
      </w:r>
      <w:r>
        <w:rPr>
          <w:sz w:val="17"/>
        </w:rPr>
        <w:t>sources</w:t>
      </w:r>
      <w:r>
        <w:rPr>
          <w:spacing w:val="25"/>
          <w:sz w:val="17"/>
        </w:rPr>
        <w:t> </w:t>
      </w:r>
      <w:r>
        <w:rPr>
          <w:sz w:val="17"/>
        </w:rPr>
        <w:t>and</w:t>
      </w:r>
      <w:r>
        <w:rPr>
          <w:spacing w:val="25"/>
          <w:sz w:val="17"/>
        </w:rPr>
        <w:t> </w:t>
      </w:r>
      <w:r>
        <w:rPr>
          <w:sz w:val="17"/>
        </w:rPr>
        <w:t>detectors.</w:t>
      </w:r>
      <w:r>
        <w:rPr>
          <w:spacing w:val="25"/>
          <w:sz w:val="17"/>
        </w:rPr>
        <w:t> </w:t>
      </w:r>
      <w:r>
        <w:rPr>
          <w:i/>
          <w:sz w:val="17"/>
        </w:rPr>
        <w:t>Review</w:t>
      </w:r>
      <w:r>
        <w:rPr>
          <w:i/>
          <w:spacing w:val="25"/>
          <w:sz w:val="17"/>
        </w:rPr>
        <w:t> </w:t>
      </w:r>
      <w:r>
        <w:rPr>
          <w:i/>
          <w:sz w:val="17"/>
        </w:rPr>
        <w:t>of</w:t>
      </w:r>
      <w:r>
        <w:rPr>
          <w:i/>
          <w:spacing w:val="25"/>
          <w:sz w:val="17"/>
        </w:rPr>
        <w:t> </w:t>
      </w:r>
      <w:r>
        <w:rPr>
          <w:i/>
          <w:sz w:val="17"/>
        </w:rPr>
        <w:t>Scientific Instruments</w:t>
      </w:r>
      <w:r>
        <w:rPr>
          <w:sz w:val="17"/>
        </w:rPr>
        <w:t>, 82, 071101.</w:t>
      </w:r>
    </w:p>
    <w:p>
      <w:pPr>
        <w:pStyle w:val="ListParagraph"/>
        <w:numPr>
          <w:ilvl w:val="0"/>
          <w:numId w:val="3"/>
        </w:numPr>
        <w:tabs>
          <w:tab w:pos="923" w:val="left" w:leader="none"/>
          <w:tab w:pos="960" w:val="left" w:leader="none"/>
        </w:tabs>
        <w:spacing w:line="295" w:lineRule="auto" w:before="59" w:after="0"/>
        <w:ind w:left="960" w:right="479" w:hanging="480"/>
        <w:jc w:val="left"/>
        <w:rPr>
          <w:sz w:val="17"/>
        </w:rPr>
      </w:pPr>
      <w:r>
        <w:rPr>
          <w:sz w:val="17"/>
        </w:rPr>
        <w:t>Assouline,</w:t>
      </w:r>
      <w:r>
        <w:rPr>
          <w:spacing w:val="35"/>
          <w:sz w:val="17"/>
        </w:rPr>
        <w:t> </w:t>
      </w:r>
      <w:r>
        <w:rPr>
          <w:sz w:val="17"/>
        </w:rPr>
        <w:t>A.,</w:t>
      </w:r>
      <w:r>
        <w:rPr>
          <w:spacing w:val="35"/>
          <w:sz w:val="17"/>
        </w:rPr>
        <w:t> </w:t>
      </w:r>
      <w:r>
        <w:rPr>
          <w:sz w:val="17"/>
        </w:rPr>
        <w:t>et</w:t>
      </w:r>
      <w:r>
        <w:rPr>
          <w:spacing w:val="35"/>
          <w:sz w:val="17"/>
        </w:rPr>
        <w:t> </w:t>
      </w:r>
      <w:r>
        <w:rPr>
          <w:sz w:val="17"/>
        </w:rPr>
        <w:t>al.</w:t>
      </w:r>
      <w:r>
        <w:rPr>
          <w:spacing w:val="35"/>
          <w:sz w:val="17"/>
        </w:rPr>
        <w:t> </w:t>
      </w:r>
      <w:r>
        <w:rPr>
          <w:sz w:val="17"/>
        </w:rPr>
        <w:t>(2025).</w:t>
      </w:r>
      <w:r>
        <w:rPr>
          <w:spacing w:val="35"/>
          <w:sz w:val="17"/>
        </w:rPr>
        <w:t> </w:t>
      </w:r>
      <w:r>
        <w:rPr>
          <w:sz w:val="17"/>
        </w:rPr>
        <w:t>Time-resolved</w:t>
      </w:r>
      <w:r>
        <w:rPr>
          <w:spacing w:val="35"/>
          <w:sz w:val="17"/>
        </w:rPr>
        <w:t> </w:t>
      </w:r>
      <w:r>
        <w:rPr>
          <w:sz w:val="17"/>
        </w:rPr>
        <w:t>sensing</w:t>
      </w:r>
      <w:r>
        <w:rPr>
          <w:spacing w:val="35"/>
          <w:sz w:val="17"/>
        </w:rPr>
        <w:t> </w:t>
      </w:r>
      <w:r>
        <w:rPr>
          <w:sz w:val="17"/>
        </w:rPr>
        <w:t>of</w:t>
      </w:r>
      <w:r>
        <w:rPr>
          <w:spacing w:val="35"/>
          <w:sz w:val="17"/>
        </w:rPr>
        <w:t> </w:t>
      </w:r>
      <w:r>
        <w:rPr>
          <w:sz w:val="17"/>
        </w:rPr>
        <w:t>electromagnetic</w:t>
      </w:r>
      <w:r>
        <w:rPr>
          <w:spacing w:val="35"/>
          <w:sz w:val="17"/>
        </w:rPr>
        <w:t> </w:t>
      </w:r>
      <w:r>
        <w:rPr>
          <w:sz w:val="17"/>
        </w:rPr>
        <w:t>fields</w:t>
      </w:r>
      <w:r>
        <w:rPr>
          <w:spacing w:val="35"/>
          <w:sz w:val="17"/>
        </w:rPr>
        <w:t> </w:t>
      </w:r>
      <w:r>
        <w:rPr>
          <w:sz w:val="17"/>
        </w:rPr>
        <w:t>with</w:t>
      </w:r>
      <w:r>
        <w:rPr>
          <w:spacing w:val="35"/>
          <w:sz w:val="17"/>
        </w:rPr>
        <w:t> </w:t>
      </w:r>
      <w:r>
        <w:rPr>
          <w:sz w:val="17"/>
        </w:rPr>
        <w:t>single-electron</w:t>
      </w:r>
      <w:r>
        <w:rPr>
          <w:spacing w:val="35"/>
          <w:sz w:val="17"/>
        </w:rPr>
        <w:t> </w:t>
      </w:r>
      <w:r>
        <w:rPr>
          <w:sz w:val="17"/>
        </w:rPr>
        <w:t>interferometry.</w:t>
      </w:r>
      <w:r>
        <w:rPr>
          <w:spacing w:val="35"/>
          <w:sz w:val="17"/>
        </w:rPr>
        <w:t> </w:t>
      </w:r>
      <w:r>
        <w:rPr>
          <w:i/>
          <w:sz w:val="17"/>
        </w:rPr>
        <w:t>Nature Nanotechnology</w:t>
      </w:r>
      <w:r>
        <w:rPr>
          <w:sz w:val="17"/>
        </w:rPr>
        <w:t>, 20, 596–601. DOI: 10.1038/s41565-025-01888-2</w:t>
      </w:r>
    </w:p>
    <w:p>
      <w:pPr>
        <w:pStyle w:val="ListParagraph"/>
        <w:numPr>
          <w:ilvl w:val="0"/>
          <w:numId w:val="3"/>
        </w:numPr>
        <w:tabs>
          <w:tab w:pos="873" w:val="left" w:leader="none"/>
          <w:tab w:pos="960" w:val="left" w:leader="none"/>
        </w:tabs>
        <w:spacing w:line="295" w:lineRule="auto" w:before="59" w:after="0"/>
        <w:ind w:left="960" w:right="478" w:hanging="480"/>
        <w:jc w:val="left"/>
        <w:rPr>
          <w:sz w:val="17"/>
        </w:rPr>
      </w:pPr>
      <w:r>
        <w:rPr>
          <w:sz w:val="17"/>
        </w:rPr>
        <w:t>Roberts, K., Gregory, T., Wolley, O., &amp; Padgett, M. J. (2025). Optimising detector readout settings for spatial correlations in</w:t>
      </w:r>
      <w:r>
        <w:rPr>
          <w:spacing w:val="40"/>
          <w:sz w:val="17"/>
        </w:rPr>
        <w:t> </w:t>
      </w:r>
      <w:r>
        <w:rPr>
          <w:sz w:val="17"/>
        </w:rPr>
        <w:t>SPDC photon-pairs. </w:t>
      </w:r>
      <w:r>
        <w:rPr>
          <w:i/>
          <w:sz w:val="17"/>
        </w:rPr>
        <w:t>Scientific Reports</w:t>
      </w:r>
      <w:r>
        <w:rPr>
          <w:sz w:val="17"/>
        </w:rPr>
        <w:t>, 15, 1101. DOI: 10.1038/s41598-024-84200-x</w:t>
      </w:r>
    </w:p>
    <w:p>
      <w:pPr>
        <w:pStyle w:val="ListParagraph"/>
        <w:numPr>
          <w:ilvl w:val="0"/>
          <w:numId w:val="3"/>
        </w:numPr>
        <w:tabs>
          <w:tab w:pos="917" w:val="left" w:leader="none"/>
          <w:tab w:pos="960" w:val="left" w:leader="none"/>
        </w:tabs>
        <w:spacing w:line="295" w:lineRule="auto" w:before="59" w:after="0"/>
        <w:ind w:left="960" w:right="478" w:hanging="480"/>
        <w:jc w:val="left"/>
        <w:rPr>
          <w:sz w:val="17"/>
        </w:rPr>
      </w:pPr>
      <w:r>
        <w:rPr>
          <w:sz w:val="17"/>
        </w:rPr>
        <w:t>Satapathy,</w:t>
      </w:r>
      <w:r>
        <w:rPr>
          <w:spacing w:val="32"/>
          <w:sz w:val="17"/>
        </w:rPr>
        <w:t> </w:t>
      </w:r>
      <w:r>
        <w:rPr>
          <w:sz w:val="17"/>
        </w:rPr>
        <w:t>N.,</w:t>
      </w:r>
      <w:r>
        <w:rPr>
          <w:spacing w:val="32"/>
          <w:sz w:val="17"/>
        </w:rPr>
        <w:t> </w:t>
      </w:r>
      <w:r>
        <w:rPr>
          <w:sz w:val="17"/>
        </w:rPr>
        <w:t>Pandey,</w:t>
      </w:r>
      <w:r>
        <w:rPr>
          <w:spacing w:val="32"/>
          <w:sz w:val="17"/>
        </w:rPr>
        <w:t> </w:t>
      </w:r>
      <w:r>
        <w:rPr>
          <w:sz w:val="17"/>
        </w:rPr>
        <w:t>D.,</w:t>
      </w:r>
      <w:r>
        <w:rPr>
          <w:spacing w:val="32"/>
          <w:sz w:val="17"/>
        </w:rPr>
        <w:t> </w:t>
      </w:r>
      <w:r>
        <w:rPr>
          <w:sz w:val="17"/>
        </w:rPr>
        <w:t>Banerjee,</w:t>
      </w:r>
      <w:r>
        <w:rPr>
          <w:spacing w:val="32"/>
          <w:sz w:val="17"/>
        </w:rPr>
        <w:t> </w:t>
      </w:r>
      <w:r>
        <w:rPr>
          <w:sz w:val="17"/>
        </w:rPr>
        <w:t>S.,</w:t>
      </w:r>
      <w:r>
        <w:rPr>
          <w:spacing w:val="32"/>
          <w:sz w:val="17"/>
        </w:rPr>
        <w:t> </w:t>
      </w:r>
      <w:r>
        <w:rPr>
          <w:sz w:val="17"/>
        </w:rPr>
        <w:t>&amp;</w:t>
      </w:r>
      <w:r>
        <w:rPr>
          <w:spacing w:val="32"/>
          <w:sz w:val="17"/>
        </w:rPr>
        <w:t> </w:t>
      </w:r>
      <w:r>
        <w:rPr>
          <w:sz w:val="17"/>
        </w:rPr>
        <w:t>Ramachandran,</w:t>
      </w:r>
      <w:r>
        <w:rPr>
          <w:spacing w:val="32"/>
          <w:sz w:val="17"/>
        </w:rPr>
        <w:t> </w:t>
      </w:r>
      <w:r>
        <w:rPr>
          <w:sz w:val="17"/>
        </w:rPr>
        <w:t>H.</w:t>
      </w:r>
      <w:r>
        <w:rPr>
          <w:spacing w:val="32"/>
          <w:sz w:val="17"/>
        </w:rPr>
        <w:t> </w:t>
      </w:r>
      <w:r>
        <w:rPr>
          <w:sz w:val="17"/>
        </w:rPr>
        <w:t>(2013).</w:t>
      </w:r>
      <w:r>
        <w:rPr>
          <w:spacing w:val="32"/>
          <w:sz w:val="17"/>
        </w:rPr>
        <w:t> </w:t>
      </w:r>
      <w:r>
        <w:rPr>
          <w:sz w:val="17"/>
        </w:rPr>
        <w:t>Optical</w:t>
      </w:r>
      <w:r>
        <w:rPr>
          <w:spacing w:val="32"/>
          <w:sz w:val="17"/>
        </w:rPr>
        <w:t> </w:t>
      </w:r>
      <w:r>
        <w:rPr>
          <w:sz w:val="17"/>
        </w:rPr>
        <w:t>phase</w:t>
      </w:r>
      <w:r>
        <w:rPr>
          <w:spacing w:val="32"/>
          <w:sz w:val="17"/>
        </w:rPr>
        <w:t> </w:t>
      </w:r>
      <w:r>
        <w:rPr>
          <w:sz w:val="17"/>
        </w:rPr>
        <w:t>noise</w:t>
      </w:r>
      <w:r>
        <w:rPr>
          <w:spacing w:val="32"/>
          <w:sz w:val="17"/>
        </w:rPr>
        <w:t> </w:t>
      </w:r>
      <w:r>
        <w:rPr>
          <w:sz w:val="17"/>
        </w:rPr>
        <w:t>engineering</w:t>
      </w:r>
      <w:r>
        <w:rPr>
          <w:spacing w:val="32"/>
          <w:sz w:val="17"/>
        </w:rPr>
        <w:t> </w:t>
      </w:r>
      <w:r>
        <w:rPr>
          <w:sz w:val="17"/>
        </w:rPr>
        <w:t>via</w:t>
      </w:r>
      <w:r>
        <w:rPr>
          <w:spacing w:val="32"/>
          <w:sz w:val="17"/>
        </w:rPr>
        <w:t> </w:t>
      </w:r>
      <w:r>
        <w:rPr>
          <w:sz w:val="17"/>
        </w:rPr>
        <w:t>acousto-</w:t>
      </w:r>
      <w:r>
        <w:rPr>
          <w:sz w:val="17"/>
        </w:rPr>
        <w:t>optic interaction. </w:t>
      </w:r>
      <w:r>
        <w:rPr>
          <w:i/>
          <w:sz w:val="17"/>
        </w:rPr>
        <w:t>J. Opt. Soc. Am. A</w:t>
      </w:r>
      <w:r>
        <w:rPr>
          <w:sz w:val="17"/>
        </w:rPr>
        <w:t>, 30, 910. DOI: 10.1364/JOSAA.30.000910</w:t>
      </w:r>
    </w:p>
    <w:p>
      <w:pPr>
        <w:pStyle w:val="ListParagraph"/>
        <w:numPr>
          <w:ilvl w:val="0"/>
          <w:numId w:val="3"/>
        </w:numPr>
        <w:tabs>
          <w:tab w:pos="883" w:val="left" w:leader="none"/>
          <w:tab w:pos="960" w:val="left" w:leader="none"/>
        </w:tabs>
        <w:spacing w:line="295" w:lineRule="auto" w:before="59" w:after="0"/>
        <w:ind w:left="960" w:right="478" w:hanging="480"/>
        <w:jc w:val="left"/>
        <w:rPr>
          <w:sz w:val="17"/>
        </w:rPr>
      </w:pPr>
      <w:r>
        <w:rPr>
          <w:sz w:val="17"/>
        </w:rPr>
        <w:t>Kincaid, J. M., McLelland, B. T., &amp; Zwolak, M. (2016). Measurement-induced decoherence and Gaussian smoothing of </w:t>
      </w:r>
      <w:r>
        <w:rPr>
          <w:sz w:val="17"/>
        </w:rPr>
        <w:t>the</w:t>
      </w:r>
      <w:r>
        <w:rPr>
          <w:spacing w:val="80"/>
          <w:sz w:val="17"/>
        </w:rPr>
        <w:t> </w:t>
      </w:r>
      <w:r>
        <w:rPr>
          <w:sz w:val="17"/>
        </w:rPr>
        <w:t>Wigner distribution. </w:t>
      </w:r>
      <w:r>
        <w:rPr>
          <w:i/>
          <w:sz w:val="17"/>
        </w:rPr>
        <w:t>American Journal of Physics</w:t>
      </w:r>
      <w:r>
        <w:rPr>
          <w:sz w:val="17"/>
        </w:rPr>
        <w:t>, 84, 522. DOI: 10.1119/1.4943585</w:t>
      </w:r>
    </w:p>
    <w:p>
      <w:pPr>
        <w:pStyle w:val="ListParagraph"/>
        <w:numPr>
          <w:ilvl w:val="0"/>
          <w:numId w:val="3"/>
        </w:numPr>
        <w:tabs>
          <w:tab w:pos="848" w:val="left" w:leader="none"/>
        </w:tabs>
        <w:spacing w:line="240" w:lineRule="auto" w:before="59" w:after="0"/>
        <w:ind w:left="848" w:right="0" w:hanging="368"/>
        <w:jc w:val="left"/>
        <w:rPr>
          <w:sz w:val="17"/>
        </w:rPr>
      </w:pPr>
      <w:r>
        <w:rPr>
          <w:sz w:val="17"/>
        </w:rPr>
        <w:t>Glauber, R. J. (1963). The quantum theory of optical coherence. </w:t>
      </w:r>
      <w:r>
        <w:rPr>
          <w:i/>
          <w:sz w:val="17"/>
        </w:rPr>
        <w:t>Physical Review</w:t>
      </w:r>
      <w:r>
        <w:rPr>
          <w:sz w:val="17"/>
        </w:rPr>
        <w:t>, 130, </w:t>
      </w:r>
      <w:r>
        <w:rPr>
          <w:spacing w:val="-2"/>
          <w:sz w:val="17"/>
        </w:rPr>
        <w:t>2529–2539.</w:t>
      </w:r>
    </w:p>
    <w:p>
      <w:pPr>
        <w:pStyle w:val="ListParagraph"/>
        <w:numPr>
          <w:ilvl w:val="0"/>
          <w:numId w:val="3"/>
        </w:numPr>
        <w:tabs>
          <w:tab w:pos="848" w:val="left" w:leader="none"/>
        </w:tabs>
        <w:spacing w:line="240" w:lineRule="auto" w:before="105" w:after="0"/>
        <w:ind w:left="848" w:right="0" w:hanging="368"/>
        <w:jc w:val="left"/>
        <w:rPr>
          <w:sz w:val="17"/>
        </w:rPr>
      </w:pPr>
      <w:r>
        <w:rPr>
          <w:sz w:val="17"/>
        </w:rPr>
        <w:t>Srikar R. (2025). Quantum Measurement &amp; Control Test Bench (QMCTB-01). </w:t>
      </w:r>
      <w:r>
        <w:rPr>
          <w:i/>
          <w:sz w:val="17"/>
        </w:rPr>
        <w:t>Zenodo</w:t>
      </w:r>
      <w:r>
        <w:rPr>
          <w:sz w:val="17"/>
        </w:rPr>
        <w:t>. DOI: </w:t>
      </w:r>
      <w:r>
        <w:rPr>
          <w:spacing w:val="-2"/>
          <w:sz w:val="17"/>
        </w:rPr>
        <w:t>10.5281/zenodo.18075090</w:t>
      </w:r>
    </w:p>
    <w:p>
      <w:pPr>
        <w:pStyle w:val="ListParagraph"/>
        <w:numPr>
          <w:ilvl w:val="0"/>
          <w:numId w:val="3"/>
        </w:numPr>
        <w:tabs>
          <w:tab w:pos="960" w:val="left" w:leader="none"/>
          <w:tab w:pos="1083" w:val="left" w:leader="none"/>
        </w:tabs>
        <w:spacing w:line="295" w:lineRule="auto" w:before="104" w:after="0"/>
        <w:ind w:left="960" w:right="478" w:hanging="480"/>
        <w:jc w:val="left"/>
        <w:rPr>
          <w:sz w:val="17"/>
        </w:rPr>
      </w:pPr>
      <w:r>
        <w:rPr>
          <w:sz w:val="17"/>
        </w:rPr>
        <w:tab/>
        <w:t>Srikar</w:t>
      </w:r>
      <w:r>
        <w:rPr>
          <w:spacing w:val="80"/>
          <w:w w:val="150"/>
          <w:sz w:val="17"/>
        </w:rPr>
        <w:t> </w:t>
      </w:r>
      <w:r>
        <w:rPr>
          <w:sz w:val="17"/>
        </w:rPr>
        <w:t>R.</w:t>
      </w:r>
      <w:r>
        <w:rPr>
          <w:spacing w:val="80"/>
          <w:w w:val="150"/>
          <w:sz w:val="17"/>
        </w:rPr>
        <w:t> </w:t>
      </w:r>
      <w:r>
        <w:rPr>
          <w:sz w:val="17"/>
        </w:rPr>
        <w:t>(2026).</w:t>
      </w:r>
      <w:r>
        <w:rPr>
          <w:spacing w:val="80"/>
          <w:w w:val="150"/>
          <w:sz w:val="17"/>
        </w:rPr>
        <w:t> </w:t>
      </w:r>
      <w:r>
        <w:rPr>
          <w:sz w:val="17"/>
        </w:rPr>
        <w:t>Quantum</w:t>
      </w:r>
      <w:r>
        <w:rPr>
          <w:spacing w:val="80"/>
          <w:w w:val="150"/>
          <w:sz w:val="17"/>
        </w:rPr>
        <w:t> </w:t>
      </w:r>
      <w:r>
        <w:rPr>
          <w:sz w:val="17"/>
        </w:rPr>
        <w:t>Measurement</w:t>
      </w:r>
      <w:r>
        <w:rPr>
          <w:spacing w:val="80"/>
          <w:w w:val="150"/>
          <w:sz w:val="17"/>
        </w:rPr>
        <w:t> </w:t>
      </w:r>
      <w:r>
        <w:rPr>
          <w:sz w:val="17"/>
        </w:rPr>
        <w:t>Stack</w:t>
      </w:r>
      <w:r>
        <w:rPr>
          <w:spacing w:val="80"/>
          <w:w w:val="150"/>
          <w:sz w:val="17"/>
        </w:rPr>
        <w:t> </w:t>
      </w:r>
      <w:r>
        <w:rPr>
          <w:sz w:val="17"/>
        </w:rPr>
        <w:t>Benchmarks:</w:t>
      </w:r>
      <w:r>
        <w:rPr>
          <w:spacing w:val="80"/>
          <w:w w:val="150"/>
          <w:sz w:val="17"/>
        </w:rPr>
        <w:t> </w:t>
      </w:r>
      <w:r>
        <w:rPr>
          <w:sz w:val="17"/>
        </w:rPr>
        <w:t>QMCTB-01</w:t>
      </w:r>
      <w:r>
        <w:rPr>
          <w:spacing w:val="80"/>
          <w:w w:val="150"/>
          <w:sz w:val="17"/>
        </w:rPr>
        <w:t> </w:t>
      </w:r>
      <w:r>
        <w:rPr>
          <w:sz w:val="17"/>
        </w:rPr>
        <w:t>and</w:t>
      </w:r>
      <w:r>
        <w:rPr>
          <w:spacing w:val="80"/>
          <w:w w:val="150"/>
          <w:sz w:val="17"/>
        </w:rPr>
        <w:t> </w:t>
      </w:r>
      <w:r>
        <w:rPr>
          <w:sz w:val="17"/>
        </w:rPr>
        <w:t>QMCTB-02.</w:t>
      </w:r>
      <w:r>
        <w:rPr>
          <w:spacing w:val="80"/>
          <w:w w:val="150"/>
          <w:sz w:val="17"/>
        </w:rPr>
        <w:t> </w:t>
      </w:r>
      <w:r>
        <w:rPr>
          <w:i/>
          <w:sz w:val="17"/>
        </w:rPr>
        <w:t>Zenodo</w:t>
      </w:r>
      <w:r>
        <w:rPr>
          <w:sz w:val="17"/>
        </w:rPr>
        <w:t>.</w:t>
      </w:r>
      <w:r>
        <w:rPr>
          <w:spacing w:val="80"/>
          <w:w w:val="150"/>
          <w:sz w:val="17"/>
        </w:rPr>
        <w:t> </w:t>
      </w:r>
      <w:r>
        <w:rPr>
          <w:sz w:val="17"/>
        </w:rPr>
        <w:t>DOI: </w:t>
      </w:r>
      <w:r>
        <w:rPr>
          <w:spacing w:val="-2"/>
          <w:sz w:val="17"/>
        </w:rPr>
        <w:t>10.5281/zenodo.19153014</w:t>
      </w:r>
    </w:p>
    <w:sectPr>
      <w:pgSz w:w="12240" w:h="15840"/>
      <w:pgMar w:top="150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Symbol">
    <w:altName w:val="Symbol"/>
    <w:charset w:val="2"/>
    <w:family w:val="decorative"/>
    <w:pitch w:val="variable"/>
  </w:font>
  <w:font w:name="MS Gothic">
    <w:altName w:val="MS Gothic"/>
    <w:charset w:val="1"/>
    <w:family w:val="modern"/>
    <w:pitch w:val="default"/>
  </w:font>
  <w:font w:name="Courier New">
    <w:altName w:val="Courier New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[%1]"/>
      <w:lvlJc w:val="left"/>
      <w:pPr>
        <w:ind w:left="960" w:hanging="31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72" w:hanging="31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84" w:hanging="31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96" w:hanging="31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08" w:hanging="31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20" w:hanging="31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32" w:hanging="31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44" w:hanging="31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56" w:hanging="318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480" w:hanging="22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40" w:hanging="2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0" w:hanging="2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60" w:hanging="2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2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80" w:hanging="2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40" w:hanging="2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00" w:hanging="2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60" w:hanging="22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72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1A3A6B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95" w:hanging="31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2D6DB3"/>
        <w:spacing w:val="0"/>
        <w:w w:val="100"/>
        <w:sz w:val="21"/>
        <w:szCs w:val="2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1" w:hanging="3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62" w:hanging="3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93" w:hanging="3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24" w:hanging="3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55" w:hanging="3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86" w:hanging="3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17" w:hanging="315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9"/>
    </w:pPr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720" w:hanging="240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795" w:hanging="315"/>
      <w:outlineLvl w:val="2"/>
    </w:pPr>
    <w:rPr>
      <w:rFonts w:ascii="Times New Roman" w:hAnsi="Times New Roman" w:eastAsia="Times New Roman" w:cs="Times New Roman"/>
      <w:b/>
      <w:bCs/>
      <w:sz w:val="21"/>
      <w:szCs w:val="21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4"/>
      <w:jc w:val="center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59"/>
      <w:ind w:left="795" w:hanging="48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06"/>
      <w:ind w:left="10"/>
      <w:jc w:val="center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r.srikar.30@gmail.com" TargetMode="External"/><Relationship Id="rId6" Type="http://schemas.openxmlformats.org/officeDocument/2006/relationships/image" Target="media/image1.jpeg"/><Relationship Id="rId7" Type="http://schemas.openxmlformats.org/officeDocument/2006/relationships/image" Target="media/image2.jpeg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Srikar R.</dc:creator>
  <dc:subject>QMCTB-01 and QMCTB-02 Benchmark Framework</dc:subject>
  <dc:title>Detector Coherence Transfer in Quantum Measurement</dc:title>
  <dcterms:created xsi:type="dcterms:W3CDTF">2026-03-31T05:12:44Z</dcterms:created>
  <dcterms:modified xsi:type="dcterms:W3CDTF">2026-03-31T05:12:44Z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2026-03-31T00:00:00Z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2026-03-31T00:00:00Z</vt:filetime>
  </property>
  <property fmtid="{D5CDD505-2E9C-101B-9397-08002B2CF9AE}" pid="5" name="Producer">
    <vt:lpwstr>ReportLab PDF Library - (opensource)</vt:lpwstr>
  </property>
</Properties>
</file>