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Detector-Conditioned Observability of Interference Under Coarse-Grained Measurement</w:t>
      </w:r>
    </w:p>
    <w:p>
      <w:pPr>
        <w:jc w:val="center"/>
      </w:pPr>
      <w:r>
        <w:rPr>
          <w:b/>
        </w:rPr>
        <w:t>Srikar R</w:t>
        <w:br/>
      </w:r>
      <w:r>
        <w:t>DOI: https://doi.org/10.5281/zenodo.19353701</w:t>
        <w:br/>
      </w:r>
      <w:r>
        <w:t>Supporting Record: https://zenodo.org/records/19338790</w:t>
      </w:r>
    </w:p>
    <w:p>
      <w:pPr>
        <w:pStyle w:val="Heading1"/>
      </w:pPr>
      <w:r>
        <w:t>Abstract</w:t>
      </w:r>
    </w:p>
    <w:p>
      <w:pPr>
        <w:spacing w:after="200"/>
      </w:pPr>
      <w:r>
        <w:t>Interference visibility is commonly treated as an intrinsic property of wave superposition. In practical systems, visibility is inferred through detector sampling and noise. We present a computational framework integrating propagation, detection, noise, and visibility estimation. We observe scaling B_min ∝ d^(-0.77), deviating from ideal Nyquist scaling.</w:t>
      </w:r>
    </w:p>
    <w:p>
      <w:pPr>
        <w:pStyle w:val="Heading1"/>
      </w:pPr>
      <w:r>
        <w:t>1. Introduction</w:t>
      </w:r>
    </w:p>
    <w:p>
      <w:pPr>
        <w:spacing w:after="200"/>
      </w:pPr>
      <w:r>
        <w:t>Interference is a fundamental signature of coherence. Real measurement systems introduce detector resolution limits, shot noise, and read noise, affecting observability. This work quantifies the resolution threshold required.</w:t>
      </w:r>
    </w:p>
    <w:p>
      <w:pPr>
        <w:pStyle w:val="Heading1"/>
      </w:pPr>
      <w:r>
        <w:t>2. Methods</w:t>
      </w:r>
    </w:p>
    <w:p>
      <w:pPr>
        <w:spacing w:after="200"/>
      </w:pPr>
      <w:r>
        <w:t>Simulation includes Fresnel propagation, pixel binning, shot and read noise, and visibility estimation with threshold V ≥ 0.75.</w:t>
      </w:r>
    </w:p>
    <w:p>
      <w:pPr>
        <w:pStyle w:val="Heading1"/>
      </w:pPr>
      <w:r>
        <w:t>3. Experiment</w:t>
      </w:r>
    </w:p>
    <w:p>
      <w:pPr>
        <w:spacing w:after="200"/>
      </w:pPr>
      <w:r>
        <w:t>Slit separation d ∈ [100, 500] µm. For each configuration, we simulate, bin, add noise, compute visibility, and extract maximum bin size preserving visibility across multiple runs.</w:t>
      </w:r>
    </w:p>
    <w:p>
      <w:pPr>
        <w:pStyle w:val="Heading1"/>
      </w:pPr>
      <w:r>
        <w:t>4. Results</w:t>
      </w:r>
    </w:p>
    <w:p>
      <w:r>
        <w:t>B_min ∝ d^(-0.77)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d_v66_17749597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Minimum detector bin size (B_min) vs slit separation (d). Error bars show standard deviation. Dashed curve: fitted scaling (b ≈ -0.77). Dotted curve: Nyquist prediction.</w:t>
      </w:r>
    </w:p>
    <w:p>
      <w:pPr>
        <w:pStyle w:val="Heading1"/>
      </w:pPr>
      <w:r>
        <w:t>5. Interpretation</w:t>
      </w:r>
    </w:p>
    <w:p>
      <w:pPr>
        <w:spacing w:after="200"/>
      </w:pPr>
      <w:r>
        <w:t>Trade-off between resolution and noise leads to stochastic observability boundary.</w:t>
      </w:r>
    </w:p>
    <w:p>
      <w:pPr>
        <w:pStyle w:val="Heading1"/>
      </w:pPr>
      <w:r>
        <w:t>6. Conclusion</w:t>
      </w:r>
    </w:p>
    <w:p>
      <w:pPr>
        <w:spacing w:after="200"/>
      </w:pPr>
      <w:r>
        <w:t>Interference is measurement-conditioned. Detector resolution and noise jointly determine observability.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