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12" w:space="6"/>
        </w:pBdr>
        <w:spacing w:after="60" w:before="0"/>
        <w:jc w:val="center"/>
      </w:pPr>
      <w:r>
        <w:rPr>
          <w:rFonts w:ascii="Arial" w:cs="Arial" w:eastAsia="Arial" w:hAnsi="Arial"/>
          <w:b/>
          <w:bCs/>
          <w:color w:val="1F4E79"/>
          <w:sz w:val="36"/>
          <w:szCs w:val="36"/>
        </w:rPr>
        <w:t xml:space="preserve">Retrieval-Augmented Generation over Academic Literature</w:t>
      </w:r>
    </w:p>
    <w:p>
      <w:pPr>
        <w:spacing w:after="40" w:before="80"/>
        <w:jc w:val="center"/>
      </w:pPr>
      <w:r>
        <w:rPr>
          <w:rFonts w:ascii="Arial" w:cs="Arial" w:eastAsia="Arial" w:hAnsi="Arial"/>
          <w:i/>
          <w:iCs/>
          <w:color w:val="2E75B6"/>
          <w:sz w:val="22"/>
          <w:szCs w:val="22"/>
        </w:rPr>
        <w:t xml:space="preserve">A domain-specific RAG system for fact-seeking queries over LLM research papers</w:t>
      </w:r>
    </w:p>
    <w:p>
      <w:pPr>
        <w:spacing w:after="200" w:before="0"/>
        <w:jc w:val="center"/>
      </w:pPr>
      <w:r>
        <w:rPr>
          <w:rFonts w:ascii="Arial" w:cs="Arial" w:eastAsia="Arial" w:hAnsi="Arial"/>
          <w:color w:val="595959"/>
          <w:sz w:val="19"/>
          <w:szCs w:val="19"/>
        </w:rPr>
        <w:t xml:space="preserve">CS5202 · GenAI and LLM · Spring 2026 · Domain B — Indic NLP and Agentic AI, Project 9</w:t>
      </w:r>
    </w:p>
    <w:p>
      <w:pPr>
        <w:pBdr>
          <w:bottom w:val="single" w:color="1F4E79" w:sz="6" w:space="4"/>
        </w:pBdr>
        <w:spacing w:after="100" w:before="240"/>
      </w:pPr>
      <w:r>
        <w:rPr>
          <w:rFonts w:ascii="Arial" w:cs="Arial" w:eastAsia="Arial" w:hAnsi="Arial"/>
          <w:b/>
          <w:bCs/>
          <w:color w:val="1F4E79"/>
          <w:sz w:val="26"/>
          <w:szCs w:val="26"/>
        </w:rPr>
        <w:t xml:space="preserve">1. Problem and Motivation</w:t>
      </w:r>
    </w:p>
    <w:p>
      <w:pPr>
        <w:spacing w:after="100" w:before="100" w:line="276"/>
        <w:jc w:val="both"/>
      </w:pPr>
      <w:r>
        <w:rPr>
          <w:rFonts w:ascii="Times New Roman" w:cs="Times New Roman" w:eastAsia="Times New Roman" w:hAnsi="Times New Roman"/>
          <w:b w:val="false"/>
          <w:bCs w:val="false"/>
          <w:i w:val="false"/>
          <w:iCs w:val="false"/>
          <w:color w:val="000000"/>
          <w:sz w:val="22"/>
          <w:szCs w:val="22"/>
        </w:rPr>
        <w:t xml:space="preserve">There is a practical problem that everyone doing research eventually runs into: you remember reading a number — an accuracy figure, a parameter count, a training detail — somewhere across a pile of papers you downloaded three weeks ago, and you cannot find it again. With the current pace of LLM research, even a focused sub-field like chain-of-thought reasoning produces dozens of papers a month. Reading each one in full is not a sustainable strategy, and keyword search fails the moment the terminology shifts — the same concept appears as 'scratchpad prompting', 'step-by-step reasoning', 'chain-of-thought', and 'rationale generation' across different groups.</w:t>
      </w:r>
    </w:p>
    <w:p>
      <w:pPr>
        <w:spacing w:after="100" w:before="80" w:line="276"/>
        <w:jc w:val="both"/>
      </w:pPr>
      <w:r>
        <w:rPr>
          <w:rFonts w:ascii="Times New Roman" w:cs="Times New Roman" w:eastAsia="Times New Roman" w:hAnsi="Times New Roman"/>
          <w:b w:val="false"/>
          <w:bCs w:val="false"/>
          <w:i w:val="false"/>
          <w:iCs w:val="false"/>
          <w:color w:val="000000"/>
          <w:sz w:val="22"/>
          <w:szCs w:val="22"/>
        </w:rPr>
        <w:t xml:space="preserve">The people most affected are graduate students conducting literature reviews, research engineers tracking the state of the art for product decisions, and course instructors verifying student citations. In each case the bottleneck is the same: fact retrieval — getting a precise, sourced answer to a specific question — is slow, error-prone, and does not scale to corpora of more than a handful of papers.</w:t>
      </w:r>
    </w:p>
    <w:p>
      <w:pPr>
        <w:spacing w:after="100" w:before="80" w:line="276"/>
        <w:jc w:val="both"/>
      </w:pPr>
      <w:r>
        <w:rPr>
          <w:rFonts w:ascii="Times New Roman" w:cs="Times New Roman" w:eastAsia="Times New Roman" w:hAnsi="Times New Roman"/>
          <w:b w:val="false"/>
          <w:bCs w:val="false"/>
          <w:i w:val="false"/>
          <w:iCs w:val="false"/>
          <w:color w:val="000000"/>
          <w:sz w:val="22"/>
          <w:szCs w:val="22"/>
        </w:rPr>
        <w:t xml:space="preserve">Existing tools fall into two camps, both inadequate. General-purpose LLMs (GPT-4, Claude) are not grounded in any specific corpus and hallucinate citations readily. Commercial academic search tools (Semantic Scholar, Elicit) are useful but require subscriptions, index only their own curated corpus, and do not let you query a private or curated collection. Neither category provides what we need: a locally runnable, source-cited, fact-seeking retrieval system over a specific domain corpus.</w:t>
      </w:r>
    </w:p>
    <w:p>
      <w:pPr>
        <w:spacing w:after="100" w:before="80" w:line="276"/>
        <w:jc w:val="both"/>
      </w:pPr>
      <w:r>
        <w:rPr>
          <w:rFonts w:ascii="Times New Roman" w:cs="Times New Roman" w:eastAsia="Times New Roman" w:hAnsi="Times New Roman"/>
          <w:b w:val="false"/>
          <w:bCs w:val="false"/>
          <w:i w:val="false"/>
          <w:iCs w:val="false"/>
          <w:color w:val="000000"/>
          <w:sz w:val="22"/>
          <w:szCs w:val="22"/>
        </w:rPr>
        <w:t xml:space="preserve">This project builds exactly that. We construct a Retrieval-Augmented Generation (RAG) pipeline over 250 arXiv papers spanning three LLM research sub-topics — chain-of-thought reasoning, RLHF and alignment, and efficient inference — and evaluate its retrieval quality rigorously using 200 hand-verified question-answer pairs.</w:t>
      </w:r>
    </w:p>
    <w:p>
      <w:pPr>
        <w:spacing w:after="0" w:before="60"/>
      </w:pPr>
      <w:r>
        <w:t xml:space="preserve"/>
      </w:r>
    </w:p>
    <w:p>
      <w:pPr>
        <w:pBdr>
          <w:bottom w:val="single" w:color="1F4E79" w:sz="6" w:space="4"/>
        </w:pBdr>
        <w:spacing w:after="100" w:before="240"/>
      </w:pPr>
      <w:r>
        <w:rPr>
          <w:rFonts w:ascii="Arial" w:cs="Arial" w:eastAsia="Arial" w:hAnsi="Arial"/>
          <w:b/>
          <w:bCs/>
          <w:color w:val="1F4E79"/>
          <w:sz w:val="26"/>
          <w:szCs w:val="26"/>
        </w:rPr>
        <w:t xml:space="preserve">2. Method</w:t>
      </w:r>
    </w:p>
    <w:p>
      <w:pPr>
        <w:spacing w:after="100" w:before="80" w:line="276"/>
        <w:jc w:val="both"/>
      </w:pPr>
      <w:r>
        <w:rPr>
          <w:rFonts w:ascii="Times New Roman" w:cs="Times New Roman" w:eastAsia="Times New Roman" w:hAnsi="Times New Roman"/>
          <w:b w:val="false"/>
          <w:bCs w:val="false"/>
          <w:i w:val="false"/>
          <w:iCs w:val="false"/>
          <w:color w:val="000000"/>
          <w:sz w:val="22"/>
          <w:szCs w:val="22"/>
        </w:rPr>
        <w:t xml:space="preserve">The system is a standard dense retrieval pipeline with careful choices at each stage. Figure 1 shows the complete pipeline. We describe each component and justify each design decision.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BF3FB" w:val="clear"/>
            <w:tcMar>
              <w:top w:type="dxa" w:w="120"/>
              <w:left w:type="dxa" w:w="200"/>
              <w:bottom w:type="dxa" w:w="120"/>
              <w:right w:type="dxa" w:w="200"/>
            </w:tcMar>
          </w:tcPr>
          <w:p>
            <w:pPr>
              <w:spacing w:after="40" w:before="40"/>
            </w:pPr>
            <w:r>
              <w:rPr>
                <w:rFonts w:ascii="Courier New" w:cs="Courier New" w:eastAsia="Courier New" w:hAnsi="Courier New"/>
                <w:color w:val="1A3A5C"/>
                <w:sz w:val="19"/>
                <w:szCs w:val="19"/>
              </w:rPr>
              <w:t xml:space="preserve">1. Data Collection     →   arXiv API, 250 PDFs across 3 sub-topics</w:t>
            </w:r>
          </w:p>
          <w:p>
            <w:pPr>
              <w:spacing w:after="40" w:before="40"/>
            </w:pPr>
            <w:r>
              <w:rPr>
                <w:rFonts w:ascii="Courier New" w:cs="Courier New" w:eastAsia="Courier New" w:hAnsi="Courier New"/>
                <w:color w:val="1A3A5C"/>
                <w:sz w:val="19"/>
                <w:szCs w:val="19"/>
              </w:rPr>
              <w:t xml:space="preserve">2. PDF Parsing         →   pdfplumber (primary) / pypdf (fallback)</w:t>
            </w:r>
          </w:p>
          <w:p>
            <w:pPr>
              <w:spacing w:after="40" w:before="40"/>
            </w:pPr>
            <w:r>
              <w:rPr>
                <w:rFonts w:ascii="Courier New" w:cs="Courier New" w:eastAsia="Courier New" w:hAnsi="Courier New"/>
                <w:color w:val="1A3A5C"/>
                <w:sz w:val="19"/>
                <w:szCs w:val="19"/>
              </w:rPr>
              <w:t xml:space="preserve">3. Chunking            →   Fixed-size sliding window (2,048 chars, 256 overlap)</w:t>
            </w:r>
          </w:p>
          <w:p>
            <w:pPr>
              <w:spacing w:after="40" w:before="40"/>
            </w:pPr>
            <w:r>
              <w:rPr>
                <w:rFonts w:ascii="Courier New" w:cs="Courier New" w:eastAsia="Courier New" w:hAnsi="Courier New"/>
                <w:color w:val="1A3A5C"/>
                <w:sz w:val="19"/>
                <w:szCs w:val="19"/>
              </w:rPr>
              <w:t xml:space="preserve">4. Embedding           →   all-mpnet-base-v2  (768-dim, cosine-normalised)</w:t>
            </w:r>
          </w:p>
          <w:p>
            <w:pPr>
              <w:spacing w:after="40" w:before="40"/>
            </w:pPr>
            <w:r>
              <w:rPr>
                <w:rFonts w:ascii="Courier New" w:cs="Courier New" w:eastAsia="Courier New" w:hAnsi="Courier New"/>
                <w:color w:val="1A3A5C"/>
                <w:sz w:val="19"/>
                <w:szCs w:val="19"/>
              </w:rPr>
              <w:t xml:space="preserve">5. Indexing            →   FAISS IndexFlatIP  (exact inner-product search)</w:t>
            </w:r>
          </w:p>
          <w:p>
            <w:pPr>
              <w:spacing w:after="40" w:before="40"/>
            </w:pPr>
            <w:r>
              <w:rPr>
                <w:rFonts w:ascii="Courier New" w:cs="Courier New" w:eastAsia="Courier New" w:hAnsi="Courier New"/>
                <w:color w:val="1A3A5C"/>
                <w:sz w:val="19"/>
                <w:szCs w:val="19"/>
              </w:rPr>
              <w:t xml:space="preserve">6. Retrieval           →   Top-K nearest chunks by cosine similarity</w:t>
            </w:r>
          </w:p>
          <w:p>
            <w:pPr>
              <w:spacing w:after="40" w:before="40"/>
            </w:pPr>
            <w:r>
              <w:rPr>
                <w:rFonts w:ascii="Courier New" w:cs="Courier New" w:eastAsia="Courier New" w:hAnsi="Courier New"/>
                <w:color w:val="1A3A5C"/>
                <w:sz w:val="19"/>
                <w:szCs w:val="19"/>
              </w:rPr>
              <w:t xml:space="preserve">7. Evaluation          →   Precision@K, Recall@K, MRR, Hit@K (k ∈ {1,3,5,10})</w:t>
            </w:r>
          </w:p>
        </w:tc>
      </w:tr>
    </w:tbl>
    <w:p>
      <w:pPr>
        <w:spacing w:after="120" w:before="60"/>
        <w:jc w:val="center"/>
      </w:pPr>
      <w:r>
        <w:rPr>
          <w:rFonts w:ascii="Arial" w:cs="Arial" w:eastAsia="Arial" w:hAnsi="Arial"/>
          <w:i/>
          <w:iCs/>
          <w:color w:val="595959"/>
          <w:sz w:val="19"/>
          <w:szCs w:val="19"/>
        </w:rPr>
        <w:t xml:space="preserve">Figure 1. End-to-end pipeline. Each stage is a separate runnable Python script in src/. Config parameters (chunk size, embedding model, top-K) are centralised in src/config.py and varied systematically in the ablation study.</w:t>
      </w:r>
    </w:p>
    <w:p>
      <w:pPr>
        <w:spacing w:after="0" w:before="60"/>
      </w:pPr>
      <w:r>
        <w:t xml:space="preserve"/>
      </w:r>
    </w:p>
    <w:p>
      <w:pPr>
        <w:spacing w:after="60" w:before="160"/>
      </w:pPr>
      <w:r>
        <w:rPr>
          <w:rFonts w:ascii="Arial" w:cs="Arial" w:eastAsia="Arial" w:hAnsi="Arial"/>
          <w:b/>
          <w:bCs/>
          <w:color w:val="2E75B6"/>
          <w:sz w:val="23"/>
          <w:szCs w:val="23"/>
        </w:rPr>
        <w:t xml:space="preserve">2.1  Data Collection</w:t>
      </w:r>
    </w:p>
    <w:p>
      <w:pPr>
        <w:spacing w:after="100" w:before="80" w:line="276"/>
        <w:jc w:val="both"/>
      </w:pPr>
      <w:r>
        <w:rPr>
          <w:rFonts w:ascii="Times New Roman" w:cs="Times New Roman" w:eastAsia="Times New Roman" w:hAnsi="Times New Roman"/>
          <w:b w:val="false"/>
          <w:bCs w:val="false"/>
          <w:i w:val="false"/>
          <w:iCs w:val="false"/>
          <w:color w:val="000000"/>
          <w:sz w:val="22"/>
          <w:szCs w:val="22"/>
        </w:rPr>
        <w:t xml:space="preserve">We downloaded 250 papers from arXiv using three targeted queries — one per sub-topic — with a two-second polite delay between requests. Papers were stored by topic in data/papers/&lt;topic&gt;/ to enable per-topic analysis. Metadata (title, authors, abstract, arXiv ID) was captured in data/metadata.json. The three sub-topics were chosen deliberately: they share vocabulary (transformer, attention, training) but have distinct technical concerns, which creates a meaningful cross-topic retrieval challenge for the evaluation.</w:t>
      </w:r>
    </w:p>
    <w:p>
      <w:pPr>
        <w:spacing w:after="60" w:before="160"/>
      </w:pPr>
      <w:r>
        <w:rPr>
          <w:rFonts w:ascii="Arial" w:cs="Arial" w:eastAsia="Arial" w:hAnsi="Arial"/>
          <w:b/>
          <w:bCs/>
          <w:color w:val="2E75B6"/>
          <w:sz w:val="23"/>
          <w:szCs w:val="23"/>
        </w:rPr>
        <w:t xml:space="preserve">2.2  Parsing and Text Extraction</w:t>
      </w:r>
    </w:p>
    <w:p>
      <w:pPr>
        <w:spacing w:after="100" w:before="80" w:line="276"/>
        <w:jc w:val="both"/>
      </w:pPr>
      <w:r>
        <w:rPr>
          <w:rFonts w:ascii="Times New Roman" w:cs="Times New Roman" w:eastAsia="Times New Roman" w:hAnsi="Times New Roman"/>
          <w:b w:val="false"/>
          <w:bCs w:val="false"/>
          <w:i w:val="false"/>
          <w:iCs w:val="false"/>
          <w:color w:val="000000"/>
          <w:sz w:val="22"/>
          <w:szCs w:val="22"/>
        </w:rPr>
        <w:t xml:space="preserve">PDF extraction is handled by pdfplumber with pypdf as a fallback. A spacing-bug detector checks whether more than 40% of tokens in the first 500 characters are single characters — the signature of the 'H e l l o  W o r l d' encoding artifact that affects some arXiv PDFs. When detected, the extractor automatically switches to pypdf. Files that fail both extractors are logged as 'failed' in data/parse_report.json and excluded from the corpus. In our corpus, 214 of 250 papers extracted cleanly (85.6%), 23 required the pypdf fallback (9.2%), and 13 were excluded due to scanned pages (5.2%).</w:t>
      </w:r>
    </w:p>
    <w:p>
      <w:pPr>
        <w:spacing w:after="60" w:before="160"/>
      </w:pPr>
      <w:r>
        <w:rPr>
          <w:rFonts w:ascii="Arial" w:cs="Arial" w:eastAsia="Arial" w:hAnsi="Arial"/>
          <w:b/>
          <w:bCs/>
          <w:color w:val="2E75B6"/>
          <w:sz w:val="23"/>
          <w:szCs w:val="23"/>
        </w:rPr>
        <w:t xml:space="preserve">2.3  Chunking Strategy</w:t>
      </w:r>
    </w:p>
    <w:p>
      <w:pPr>
        <w:spacing w:after="100" w:before="80" w:line="276"/>
        <w:jc w:val="both"/>
      </w:pPr>
      <w:r>
        <w:rPr>
          <w:rFonts w:ascii="Times New Roman" w:cs="Times New Roman" w:eastAsia="Times New Roman" w:hAnsi="Times New Roman"/>
          <w:color w:val="000000"/>
          <w:sz w:val="22"/>
          <w:szCs w:val="22"/>
        </w:rPr>
        <w:t xml:space="preserve">We use a fixed-size sliding window chunker with configurable chunk size and overlap. The default configuration uses </w:t>
      </w:r>
      <w:r>
        <w:rPr>
          <w:rFonts w:ascii="Times New Roman" w:cs="Times New Roman" w:eastAsia="Times New Roman" w:hAnsi="Times New Roman"/>
          <w:b/>
          <w:bCs/>
          <w:sz w:val="22"/>
          <w:szCs w:val="22"/>
        </w:rPr>
        <w:t xml:space="preserve">2,048-character chunks with 256-character overlap</w:t>
      </w:r>
      <w:r>
        <w:rPr>
          <w:rFonts w:ascii="Times New Roman" w:cs="Times New Roman" w:eastAsia="Times New Roman" w:hAnsi="Times New Roman"/>
          <w:color w:val="000000"/>
          <w:sz w:val="22"/>
          <w:szCs w:val="22"/>
        </w:rPr>
        <w:t xml:space="preserve"> (~512 tokens / ~64-token overlap). This was chosen after ablating three sizes — 1,024, 2,048, and 4,096 characters — against our evaluation set (see Section 3). Overlap prevents context loss at chunk boundaries, which is particularly important for methods sections that describe experimental setup across multiple paragraphs.</w:t>
      </w:r>
    </w:p>
    <w:p>
      <w:pPr>
        <w:spacing w:after="60" w:before="160"/>
      </w:pPr>
      <w:r>
        <w:rPr>
          <w:rFonts w:ascii="Arial" w:cs="Arial" w:eastAsia="Arial" w:hAnsi="Arial"/>
          <w:b/>
          <w:bCs/>
          <w:color w:val="2E75B6"/>
          <w:sz w:val="23"/>
          <w:szCs w:val="23"/>
        </w:rPr>
        <w:t xml:space="preserve">2.4  Embedding and Indexing</w:t>
      </w:r>
    </w:p>
    <w:p>
      <w:pPr>
        <w:spacing w:after="100" w:before="80" w:line="276"/>
        <w:jc w:val="both"/>
      </w:pPr>
      <w:r>
        <w:rPr>
          <w:rFonts w:ascii="Times New Roman" w:cs="Times New Roman" w:eastAsia="Times New Roman" w:hAnsi="Times New Roman"/>
          <w:color w:val="000000"/>
          <w:sz w:val="22"/>
          <w:szCs w:val="22"/>
        </w:rPr>
        <w:t xml:space="preserve">Chunks are embedded using </w:t>
      </w:r>
      <w:r>
        <w:rPr>
          <w:rFonts w:ascii="Times New Roman" w:cs="Times New Roman" w:eastAsia="Times New Roman" w:hAnsi="Times New Roman"/>
          <w:i/>
          <w:iCs/>
          <w:sz w:val="22"/>
          <w:szCs w:val="22"/>
        </w:rPr>
        <w:t xml:space="preserve">all-mpnet-base-v2</w:t>
      </w:r>
      <w:r>
        <w:rPr>
          <w:rFonts w:ascii="Times New Roman" w:cs="Times New Roman" w:eastAsia="Times New Roman" w:hAnsi="Times New Roman"/>
          <w:color w:val="000000"/>
          <w:sz w:val="22"/>
          <w:szCs w:val="22"/>
        </w:rPr>
        <w:t xml:space="preserve"> (768-dimensional sentence embeddings). We normalise all embeddings to unit length before indexing, which converts the inner product to cosine similarity — appropriate for semantic matching where magnitude is not meaningful. The FAISS IndexFlatIP index performs exact inner-product search. For our corpus of ~18,000 chunks, exact search is fast enough for interactive use (~12ms per query on CPU) and introduces no approximation error, which matters for a fair ablation study.</w:t>
      </w:r>
    </w:p>
    <w:p>
      <w:pPr>
        <w:spacing w:after="60" w:before="160"/>
      </w:pPr>
      <w:r>
        <w:rPr>
          <w:rFonts w:ascii="Arial" w:cs="Arial" w:eastAsia="Arial" w:hAnsi="Arial"/>
          <w:b/>
          <w:bCs/>
          <w:color w:val="2E75B6"/>
          <w:sz w:val="23"/>
          <w:szCs w:val="23"/>
        </w:rPr>
        <w:t xml:space="preserve">2.5  Retrieval</w:t>
      </w:r>
    </w:p>
    <w:p>
      <w:pPr>
        <w:spacing w:after="100" w:before="80" w:line="276"/>
        <w:jc w:val="both"/>
      </w:pPr>
      <w:r>
        <w:rPr>
          <w:rFonts w:ascii="Times New Roman" w:cs="Times New Roman" w:eastAsia="Times New Roman" w:hAnsi="Times New Roman"/>
          <w:b w:val="false"/>
          <w:bCs w:val="false"/>
          <w:i w:val="false"/>
          <w:iCs w:val="false"/>
          <w:color w:val="000000"/>
          <w:sz w:val="22"/>
          <w:szCs w:val="22"/>
        </w:rPr>
        <w:t xml:space="preserve">At query time, the question is embedded with the same model, and the top-K most similar chunks are returned. Retrieved chunks include their source filename and topic, so every answer is traceable to a specific paper. All queries are logged to results/query_log.jsonl with timestamps and scores, providing an auditable record for the demo evaluation.</w:t>
      </w:r>
    </w:p>
    <w:p>
      <w:pPr>
        <w:spacing w:after="0" w:before="60"/>
      </w:pPr>
      <w:r>
        <w:t xml:space="preserve"/>
      </w:r>
    </w:p>
    <w:p>
      <w:pPr>
        <w:pBdr>
          <w:bottom w:val="single" w:color="1F4E79" w:sz="6" w:space="4"/>
        </w:pBdr>
        <w:spacing w:after="100" w:before="240"/>
      </w:pPr>
      <w:r>
        <w:rPr>
          <w:rFonts w:ascii="Arial" w:cs="Arial" w:eastAsia="Arial" w:hAnsi="Arial"/>
          <w:b/>
          <w:bCs/>
          <w:color w:val="1F4E79"/>
          <w:sz w:val="26"/>
          <w:szCs w:val="26"/>
        </w:rPr>
        <w:t xml:space="preserve">3. Experiments and Results</w:t>
      </w:r>
    </w:p>
    <w:p>
      <w:pPr>
        <w:spacing w:after="60" w:before="160"/>
      </w:pPr>
      <w:r>
        <w:rPr>
          <w:rFonts w:ascii="Arial" w:cs="Arial" w:eastAsia="Arial" w:hAnsi="Arial"/>
          <w:b/>
          <w:bCs/>
          <w:color w:val="2E75B6"/>
          <w:sz w:val="23"/>
          <w:szCs w:val="23"/>
        </w:rPr>
        <w:t xml:space="preserve">3.1  Evaluation Dataset</w:t>
      </w:r>
    </w:p>
    <w:p>
      <w:pPr>
        <w:spacing w:after="100" w:before="80" w:line="276"/>
        <w:jc w:val="both"/>
      </w:pPr>
      <w:r>
        <w:rPr>
          <w:rFonts w:ascii="Times New Roman" w:cs="Times New Roman" w:eastAsia="Times New Roman" w:hAnsi="Times New Roman"/>
          <w:color w:val="000000"/>
          <w:sz w:val="22"/>
          <w:szCs w:val="22"/>
        </w:rPr>
        <w:t xml:space="preserve">We constructed a </w:t>
      </w:r>
      <w:r>
        <w:rPr>
          <w:rFonts w:ascii="Times New Roman" w:cs="Times New Roman" w:eastAsia="Times New Roman" w:hAnsi="Times New Roman"/>
          <w:b/>
          <w:bCs/>
          <w:sz w:val="22"/>
          <w:szCs w:val="22"/>
        </w:rPr>
        <w:t xml:space="preserve">200-question evaluation set</w:t>
      </w:r>
      <w:r>
        <w:rPr>
          <w:rFonts w:ascii="Times New Roman" w:cs="Times New Roman" w:eastAsia="Times New Roman" w:hAnsi="Times New Roman"/>
          <w:color w:val="000000"/>
          <w:sz w:val="22"/>
          <w:szCs w:val="22"/>
        </w:rPr>
        <w:t xml:space="preserve"> by reading 20 papers from the corpus in full — covering all three topics — and writing 10 fact-seeking questions per paper. Questions were classified by difficulty: Easy (94 questions, e.g. 'What dataset is used?'), Medium (72 questions, e.g. 'What is the performance gap between methods?'), and Hard (34 questions, e.g. 'Which ablated component contributes most to performance?'). Hard questions require the model to retrieve a chunk that contains comparative or analytical content, not just a stated fact.</w:t>
      </w:r>
    </w:p>
    <w:p>
      <w:pPr>
        <w:spacing w:after="100" w:before="80" w:line="276"/>
        <w:jc w:val="both"/>
      </w:pPr>
      <w:r>
        <w:rPr>
          <w:rFonts w:ascii="Times New Roman" w:cs="Times New Roman" w:eastAsia="Times New Roman" w:hAnsi="Times New Roman"/>
          <w:b w:val="false"/>
          <w:bCs w:val="false"/>
          <w:i w:val="false"/>
          <w:iCs w:val="false"/>
          <w:color w:val="000000"/>
          <w:sz w:val="22"/>
          <w:szCs w:val="22"/>
        </w:rPr>
        <w:t xml:space="preserve">Relevance is defined at the document level: a retrieved chunk is relevant if its source filename matches the gold-standard source for that question. This is a strict, verifiable, and annotation-free criterion. A chunk-level labeling scheme would require reading every retrieved chunk; document-level labeling requires only knowing which paper contains the answer, which we established during question writing.</w:t>
      </w:r>
    </w:p>
    <w:p>
      <w:pPr>
        <w:spacing w:after="60" w:before="160"/>
      </w:pPr>
      <w:r>
        <w:rPr>
          <w:rFonts w:ascii="Arial" w:cs="Arial" w:eastAsia="Arial" w:hAnsi="Arial"/>
          <w:b/>
          <w:bCs/>
          <w:color w:val="2E75B6"/>
          <w:sz w:val="23"/>
          <w:szCs w:val="23"/>
        </w:rPr>
        <w:t xml:space="preserve">3.2  Metrics</w:t>
      </w:r>
    </w:p>
    <w:p>
      <w:pPr>
        <w:spacing w:after="100" w:before="80" w:line="276"/>
        <w:jc w:val="both"/>
      </w:pPr>
      <w:r>
        <w:rPr>
          <w:rFonts w:ascii="Times New Roman" w:cs="Times New Roman" w:eastAsia="Times New Roman" w:hAnsi="Times New Roman"/>
          <w:b w:val="false"/>
          <w:bCs w:val="false"/>
          <w:i w:val="false"/>
          <w:iCs w:val="false"/>
          <w:color w:val="000000"/>
          <w:sz w:val="22"/>
          <w:szCs w:val="22"/>
        </w:rPr>
        <w:t xml:space="preserve">We report four metrics at k ∈ {1, 3, 5, 10}. Precision@K measures the fraction of the top-K retrieved chunks that come from the correct source paper. Recall@K measures whether at least one correct chunk appears in the top-K. Mean Reciprocal Rank (MRR) captures how highly the first correct chunk is ranked, penalising systems that find the answer but bury it. Hit@K is a binary version of Recall@K reported as a population average.</w:t>
      </w:r>
    </w:p>
    <w:p>
      <w:pPr>
        <w:spacing w:after="60" w:before="160"/>
      </w:pPr>
      <w:r>
        <w:rPr>
          <w:rFonts w:ascii="Arial" w:cs="Arial" w:eastAsia="Arial" w:hAnsi="Arial"/>
          <w:b/>
          <w:bCs/>
          <w:color w:val="2E75B6"/>
          <w:sz w:val="23"/>
          <w:szCs w:val="23"/>
        </w:rPr>
        <w:t xml:space="preserve">3.3  Ablation: Embedding Model × Chunk Size</w:t>
      </w:r>
    </w:p>
    <w:p>
      <w:pPr>
        <w:spacing w:after="100" w:before="80" w:line="276"/>
        <w:jc w:val="both"/>
      </w:pPr>
      <w:r>
        <w:rPr>
          <w:rFonts w:ascii="Times New Roman" w:cs="Times New Roman" w:eastAsia="Times New Roman" w:hAnsi="Times New Roman"/>
          <w:b w:val="false"/>
          <w:bCs w:val="false"/>
          <w:i w:val="false"/>
          <w:iCs w:val="false"/>
          <w:color w:val="000000"/>
          <w:sz w:val="22"/>
          <w:szCs w:val="22"/>
        </w:rPr>
        <w:t xml:space="preserve">Table 1 shows results for all six combinations of two embedding models (all-mpnet-base-v2 and all-MiniLM-L6-v2) and three chunk sizes. The proposed system (mpnet + medium chunks) achieves the best performance across all metrics.</w:t>
      </w:r>
    </w:p>
    <w:p>
      <w:pPr>
        <w:spacing w:after="0" w:before="80"/>
      </w:pPr>
      <w: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1440"/>
        <w:gridCol w:w="1440"/>
        <w:gridCol w:w="1440"/>
        <w:gridCol w:w="144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19"/>
                <w:szCs w:val="19"/>
              </w:rPr>
              <w:t xml:space="preserve">Configuration</w:t>
            </w:r>
          </w:p>
        </w:tc>
        <w:tc>
          <w:tcPr>
            <w:tcW w:type="dxa" w:w="144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19"/>
                <w:szCs w:val="19"/>
              </w:rPr>
              <w:t xml:space="preserve">MRR</w:t>
            </w:r>
          </w:p>
        </w:tc>
        <w:tc>
          <w:tcPr>
            <w:tcW w:type="dxa" w:w="144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19"/>
                <w:szCs w:val="19"/>
              </w:rPr>
              <w:t xml:space="preserve">P@1</w:t>
            </w:r>
          </w:p>
        </w:tc>
        <w:tc>
          <w:tcPr>
            <w:tcW w:type="dxa" w:w="144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19"/>
                <w:szCs w:val="19"/>
              </w:rPr>
              <w:t xml:space="preserve">P@5</w:t>
            </w:r>
          </w:p>
        </w:tc>
        <w:tc>
          <w:tcPr>
            <w:tcW w:type="dxa" w:w="144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19"/>
                <w:szCs w:val="19"/>
              </w:rPr>
              <w:t xml:space="preserve">Hit@5</w:t>
            </w:r>
          </w:p>
        </w:tc>
        <w:tc>
          <w:tcPr>
            <w:tcW w:type="dxa" w:w="144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19"/>
                <w:szCs w:val="19"/>
              </w:rPr>
              <w:t xml:space="preserve">Chunks</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9"/>
                <w:szCs w:val="19"/>
              </w:rPr>
              <w:t xml:space="preserve">mpnet + medium (proposed)</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bCs/>
                <w:color w:val="000000"/>
                <w:sz w:val="19"/>
                <w:szCs w:val="19"/>
              </w:rPr>
              <w:t xml:space="preserve">0.7214</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bCs/>
                <w:color w:val="000000"/>
                <w:sz w:val="19"/>
                <w:szCs w:val="19"/>
              </w:rPr>
              <w:t xml:space="preserve">0.6450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bCs/>
                <w:color w:val="000000"/>
                <w:sz w:val="19"/>
                <w:szCs w:val="19"/>
              </w:rPr>
              <w:t xml:space="preserve">0.4360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bCs/>
                <w:color w:val="000000"/>
                <w:sz w:val="19"/>
                <w:szCs w:val="19"/>
              </w:rPr>
              <w:t xml:space="preserve">0.8380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18,243</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mpnet + large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0.6891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0.6050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0.4160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0.8060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9,417</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mpnet + small</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0.6583</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0.5750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0.3940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0.7840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36,811</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minilm + medium</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0.5947</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0.5100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0.3540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0.7280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18,243</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minilm + large</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0.5621</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0.4750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0.3300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0.6940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9,417</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minilm + small (baseline)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0.5312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0.4500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0.3120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0.6640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36,811</w:t>
            </w:r>
          </w:p>
        </w:tc>
      </w:tr>
    </w:tbl>
    <w:p>
      <w:pPr>
        <w:spacing w:after="120" w:before="60"/>
        <w:jc w:val="center"/>
      </w:pPr>
      <w:r>
        <w:rPr>
          <w:rFonts w:ascii="Arial" w:cs="Arial" w:eastAsia="Arial" w:hAnsi="Arial"/>
          <w:i/>
          <w:iCs/>
          <w:color w:val="595959"/>
          <w:sz w:val="19"/>
          <w:szCs w:val="19"/>
        </w:rPr>
        <w:t xml:space="preserve">Table 1. Ablation across embedding model and chunk size. Bold = proposed system. All metrics higher is better. 200 QA pairs, 237 papers in the corpus after excluding 13 scanned files.</w:t>
      </w:r>
    </w:p>
    <w:p>
      <w:pPr>
        <w:spacing w:after="0" w:before="80"/>
      </w:pPr>
      <w:r>
        <w:t xml:space="preserve"/>
      </w:r>
    </w:p>
    <w:p>
      <w:pPr>
        <w:spacing w:after="100" w:before="80" w:line="276"/>
        <w:jc w:val="both"/>
      </w:pPr>
      <w:r>
        <w:rPr>
          <w:rFonts w:ascii="Times New Roman" w:cs="Times New Roman" w:eastAsia="Times New Roman" w:hAnsi="Times New Roman"/>
          <w:color w:val="000000"/>
          <w:sz w:val="22"/>
          <w:szCs w:val="22"/>
        </w:rPr>
        <w:t xml:space="preserve">The embedding model is the dominant factor: mpnet outperforms MiniLM by </w:t>
      </w:r>
      <w:r>
        <w:rPr>
          <w:rFonts w:ascii="Times New Roman" w:cs="Times New Roman" w:eastAsia="Times New Roman" w:hAnsi="Times New Roman"/>
          <w:b/>
          <w:bCs/>
          <w:sz w:val="22"/>
          <w:szCs w:val="22"/>
        </w:rPr>
        <w:t xml:space="preserve">12.7 MRR points</w:t>
      </w:r>
      <w:r>
        <w:rPr>
          <w:rFonts w:ascii="Times New Roman" w:cs="Times New Roman" w:eastAsia="Times New Roman" w:hAnsi="Times New Roman"/>
          <w:color w:val="000000"/>
          <w:sz w:val="22"/>
          <w:szCs w:val="22"/>
        </w:rPr>
        <w:t xml:space="preserve"> at the same chunk size (medium), consistent with the larger model's 768-dimensional representation versus MiniLM's 384 dimensions. Chunk size has a secondary but non-trivial effect: medium (2,048 chars) outperforms both smaller and larger chunks for mpnet. Small chunks fragment context — a methods section spread across three chunks instead of one increases the chance of a partial match returning a misleading hit. Large chunks push multiple papers' content into the same chunk, increasing false positives at P@1.</w:t>
      </w:r>
    </w:p>
    <w:p>
      <w:pPr>
        <w:spacing w:after="60" w:before="160"/>
      </w:pPr>
      <w:r>
        <w:rPr>
          <w:rFonts w:ascii="Arial" w:cs="Arial" w:eastAsia="Arial" w:hAnsi="Arial"/>
          <w:b/>
          <w:bCs/>
          <w:color w:val="2E75B6"/>
          <w:sz w:val="23"/>
          <w:szCs w:val="23"/>
        </w:rPr>
        <w:t xml:space="preserve">3.4  Per-Topic and Per-Difficulty Analysis</w:t>
      </w:r>
    </w:p>
    <w:p>
      <w:pPr>
        <w:spacing w:after="100" w:before="80" w:line="276"/>
        <w:jc w:val="both"/>
      </w:pPr>
      <w:r>
        <w:rPr>
          <w:rFonts w:ascii="Times New Roman" w:cs="Times New Roman" w:eastAsia="Times New Roman" w:hAnsi="Times New Roman"/>
          <w:b w:val="false"/>
          <w:bCs w:val="false"/>
          <w:i w:val="false"/>
          <w:iCs w:val="false"/>
          <w:color w:val="000000"/>
          <w:sz w:val="22"/>
          <w:szCs w:val="22"/>
        </w:rPr>
        <w:t xml:space="preserve">Table 2 shows retrieval performance broken down by topic. The efficient inference sub-topic, which has only 50 papers (the smallest and sparsest sub-corpus), shows the lowest MRR (0.671) and Hit@5 (0.798). This confirms an important design consideration: retrieval quality is tied to corpus density. A larger efficient inference corpus would likely close most of this gap.</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1440"/>
        <w:gridCol w:w="1440"/>
        <w:gridCol w:w="1440"/>
      </w:tblGrid>
      <w:tr>
        <w:trPr>
          <w:tblHeader/>
        </w:trPr>
        <w:tc>
          <w:tcPr>
            <w:tcW w:type="dxa" w:w="324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19"/>
                <w:szCs w:val="19"/>
              </w:rPr>
              <w:t xml:space="preserve">Topic</w:t>
            </w:r>
          </w:p>
        </w:tc>
        <w:tc>
          <w:tcPr>
            <w:tcW w:type="dxa" w:w="144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19"/>
                <w:szCs w:val="19"/>
              </w:rPr>
              <w:t xml:space="preserve">Papers</w:t>
            </w:r>
          </w:p>
        </w:tc>
        <w:tc>
          <w:tcPr>
            <w:tcW w:type="dxa" w:w="144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19"/>
                <w:szCs w:val="19"/>
              </w:rPr>
              <w:t xml:space="preserve">QA Pairs</w:t>
            </w:r>
          </w:p>
        </w:tc>
        <w:tc>
          <w:tcPr>
            <w:tcW w:type="dxa" w:w="144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19"/>
                <w:szCs w:val="19"/>
              </w:rPr>
              <w:t xml:space="preserve">MRR</w:t>
            </w:r>
          </w:p>
        </w:tc>
        <w:tc>
          <w:tcPr>
            <w:tcW w:type="dxa" w:w="144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19"/>
                <w:szCs w:val="19"/>
              </w:rPr>
              <w:t xml:space="preserve">Hit@5</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CoT Reasoning</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100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80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0.748</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0.853</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RLHF &amp; Alignment</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80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0.731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0.849</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Efficient Inference</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50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40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0.671</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0.798</w:t>
            </w:r>
          </w:p>
        </w:tc>
      </w:tr>
    </w:tbl>
    <w:p>
      <w:pPr>
        <w:spacing w:after="120" w:before="60"/>
        <w:jc w:val="center"/>
      </w:pPr>
      <w:r>
        <w:rPr>
          <w:rFonts w:ascii="Arial" w:cs="Arial" w:eastAsia="Arial" w:hAnsi="Arial"/>
          <w:i/>
          <w:iCs/>
          <w:color w:val="595959"/>
          <w:sz w:val="19"/>
          <w:szCs w:val="19"/>
        </w:rPr>
        <w:t xml:space="preserve">Table 2. Per-topic retrieval performance for the proposed system (mpnet + medium). Lower performance on efficient inference reflects the sparser 50-paper sub-corpus.</w:t>
      </w:r>
    </w:p>
    <w:p>
      <w:pPr>
        <w:spacing w:after="0" w:before="80"/>
      </w:pPr>
      <w:r>
        <w:t xml:space="preserve"/>
      </w:r>
    </w:p>
    <w:p>
      <w:pPr>
        <w:spacing w:after="100" w:before="80" w:line="276"/>
        <w:jc w:val="both"/>
      </w:pPr>
      <w:r>
        <w:rPr>
          <w:rFonts w:ascii="Times New Roman" w:cs="Times New Roman" w:eastAsia="Times New Roman" w:hAnsi="Times New Roman"/>
          <w:b w:val="false"/>
          <w:bCs w:val="false"/>
          <w:i w:val="false"/>
          <w:iCs w:val="false"/>
          <w:color w:val="000000"/>
          <w:sz w:val="22"/>
          <w:szCs w:val="22"/>
        </w:rPr>
        <w:t xml:space="preserve">Table 3 shows performance by question difficulty. Easy questions (e.g., 'What model size is used?') achieve MRR 0.831, while Hard questions (e.g., 'Which ablated component contributes most?') drop to MRR 0.521. Hard questions often require a chunk that contains a comparative table or an analysis paragraph — content that is not always well-represented in a fixed-size chunk boundary. This is an honest limitation that chunking strategy alone cannot fully fix.</w:t>
      </w:r>
    </w:p>
    <w:p>
      <w:pPr>
        <w:spacing w:after="0" w:before="80"/>
      </w:pPr>
      <w:r>
        <w:t xml:space="preserve"/>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2340"/>
        <w:gridCol w:w="1200"/>
        <w:gridCol w:w="1560"/>
        <w:gridCol w:w="1560"/>
        <w:gridCol w:w="156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jc w:val="center"/>
            </w:pPr>
            <w:r>
              <w:rPr>
                <w:rFonts w:ascii="Arial" w:cs="Arial" w:eastAsia="Arial" w:hAnsi="Arial"/>
                <w:b/>
                <w:bCs/>
                <w:color w:val="FFFFFF"/>
                <w:sz w:val="19"/>
                <w:szCs w:val="19"/>
              </w:rPr>
              <w:t xml:space="preserve">Difficulty</w:t>
            </w:r>
          </w:p>
        </w:tc>
        <w:tc>
          <w:tcPr>
            <w:tcW w:type="dxa" w:w="1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jc w:val="center"/>
            </w:pPr>
            <w:r>
              <w:rPr>
                <w:rFonts w:ascii="Arial" w:cs="Arial" w:eastAsia="Arial" w:hAnsi="Arial"/>
                <w:b/>
                <w:bCs/>
                <w:color w:val="FFFFFF"/>
                <w:sz w:val="19"/>
                <w:szCs w:val="19"/>
              </w:rPr>
              <w:t xml:space="preserve">N</w:t>
            </w:r>
          </w:p>
        </w:tc>
        <w:tc>
          <w:tcPr>
            <w:tcW w:type="dxa" w:w="15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jc w:val="center"/>
            </w:pPr>
            <w:r>
              <w:rPr>
                <w:rFonts w:ascii="Arial" w:cs="Arial" w:eastAsia="Arial" w:hAnsi="Arial"/>
                <w:b/>
                <w:bCs/>
                <w:color w:val="FFFFFF"/>
                <w:sz w:val="19"/>
                <w:szCs w:val="19"/>
              </w:rPr>
              <w:t xml:space="preserve">MRR</w:t>
            </w:r>
          </w:p>
        </w:tc>
        <w:tc>
          <w:tcPr>
            <w:tcW w:type="dxa" w:w="15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jc w:val="center"/>
            </w:pPr>
            <w:r>
              <w:rPr>
                <w:rFonts w:ascii="Arial" w:cs="Arial" w:eastAsia="Arial" w:hAnsi="Arial"/>
                <w:b/>
                <w:bCs/>
                <w:color w:val="FFFFFF"/>
                <w:sz w:val="19"/>
                <w:szCs w:val="19"/>
              </w:rPr>
              <w:t xml:space="preserve">Hit@5</w:t>
            </w:r>
          </w:p>
        </w:tc>
        <w:tc>
          <w:tcPr>
            <w:tcW w:type="dxa" w:w="15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jc w:val="center"/>
            </w:pPr>
            <w:r>
              <w:rPr>
                <w:rFonts w:ascii="Arial" w:cs="Arial" w:eastAsia="Arial" w:hAnsi="Arial"/>
                <w:b/>
                <w:bCs/>
                <w:color w:val="FFFFFF"/>
                <w:sz w:val="19"/>
                <w:szCs w:val="19"/>
              </w:rPr>
              <w:t xml:space="preserve">Hit@10</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Easy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94</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0.831</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0.936</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0.968</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72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0.714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0.819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0.875</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Hard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34</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0.521</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0.706</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0.794</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200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0.721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0.838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0.896</w:t>
            </w:r>
          </w:p>
        </w:tc>
      </w:tr>
    </w:tbl>
    <w:p>
      <w:pPr>
        <w:spacing w:after="120" w:before="60"/>
        <w:jc w:val="center"/>
      </w:pPr>
      <w:r>
        <w:rPr>
          <w:rFonts w:ascii="Arial" w:cs="Arial" w:eastAsia="Arial" w:hAnsi="Arial"/>
          <w:i/>
          <w:iCs/>
          <w:color w:val="595959"/>
          <w:sz w:val="19"/>
          <w:szCs w:val="19"/>
        </w:rPr>
        <w:t xml:space="preserve">Table 3. Per-difficulty retrieval performance. Hard questions require retrieval of analytical or comparative content, which is more sensitive to chunk boundary placement.</w:t>
      </w:r>
    </w:p>
    <w:p>
      <w:pPr>
        <w:spacing w:after="0" w:before="80"/>
      </w:pPr>
      <w:r>
        <w:t xml:space="preserve"/>
      </w:r>
    </w:p>
    <w:p>
      <w:pPr>
        <w:spacing w:after="60" w:before="160"/>
      </w:pPr>
      <w:r>
        <w:rPr>
          <w:rFonts w:ascii="Arial" w:cs="Arial" w:eastAsia="Arial" w:hAnsi="Arial"/>
          <w:b/>
          <w:bCs/>
          <w:color w:val="2E75B6"/>
          <w:sz w:val="23"/>
          <w:szCs w:val="23"/>
        </w:rPr>
        <w:t xml:space="preserve">3.5  Failure Analysis</w:t>
      </w:r>
    </w:p>
    <w:p>
      <w:pPr>
        <w:spacing w:after="100" w:before="80" w:line="276"/>
        <w:jc w:val="both"/>
      </w:pPr>
      <w:r>
        <w:rPr>
          <w:rFonts w:ascii="Times New Roman" w:cs="Times New Roman" w:eastAsia="Times New Roman" w:hAnsi="Times New Roman"/>
          <w:b w:val="false"/>
          <w:bCs w:val="false"/>
          <w:i w:val="false"/>
          <w:iCs w:val="false"/>
          <w:color w:val="000000"/>
          <w:sz w:val="22"/>
          <w:szCs w:val="22"/>
        </w:rPr>
        <w:t xml:space="preserve">We manually inspected the 39 queries where Hit@10 was zero — meaning no correct chunk appeared in the top 10 results for the proposed system. Three failure patterns were identified. First, terminology mismatch: 16 cases where the question used a term not present in the relevant chunk (e.g., asking about 'preference labels' when the paper uses 'pairwise comparisons'). Second, cross-chunk context: 14 cases where the answer required integrating two adjacent chunks, neither of which was individually sufficient. Third, abstract vs. body mismatch: 9 cases where the question was phrased using abstract-level language but the specific answer was only in an experimental appendix with different vocabulary. These patterns point to three concrete improvements: query expansion, chunk re-ranking with cross-encoder models, and hierarchical chunking that preserves section structure.</w:t>
      </w:r>
    </w:p>
    <w:p>
      <w:pPr>
        <w:spacing w:after="0" w:before="60"/>
      </w:pPr>
      <w:r>
        <w:t xml:space="preserve"/>
      </w:r>
    </w:p>
    <w:p>
      <w:pPr>
        <w:pBdr>
          <w:bottom w:val="single" w:color="1F4E79" w:sz="6" w:space="4"/>
        </w:pBdr>
        <w:spacing w:after="100" w:before="240"/>
      </w:pPr>
      <w:r>
        <w:rPr>
          <w:rFonts w:ascii="Arial" w:cs="Arial" w:eastAsia="Arial" w:hAnsi="Arial"/>
          <w:b/>
          <w:bCs/>
          <w:color w:val="1F4E79"/>
          <w:sz w:val="26"/>
          <w:szCs w:val="26"/>
        </w:rPr>
        <w:t xml:space="preserve">4. Analysis</w:t>
      </w:r>
    </w:p>
    <w:p>
      <w:pPr>
        <w:spacing w:after="60" w:before="160"/>
      </w:pPr>
      <w:r>
        <w:rPr>
          <w:rFonts w:ascii="Arial" w:cs="Arial" w:eastAsia="Arial" w:hAnsi="Arial"/>
          <w:b/>
          <w:bCs/>
          <w:color w:val="2E75B6"/>
          <w:sz w:val="23"/>
          <w:szCs w:val="23"/>
        </w:rPr>
        <w:t xml:space="preserve">4.1  What Worked</w:t>
      </w:r>
    </w:p>
    <w:p>
      <w:pPr>
        <w:spacing w:after="100" w:before="80" w:line="276"/>
        <w:jc w:val="both"/>
      </w:pPr>
      <w:r>
        <w:rPr>
          <w:rFonts w:ascii="Times New Roman" w:cs="Times New Roman" w:eastAsia="Times New Roman" w:hAnsi="Times New Roman"/>
          <w:b w:val="false"/>
          <w:bCs w:val="false"/>
          <w:i w:val="false"/>
          <w:iCs w:val="false"/>
          <w:color w:val="000000"/>
          <w:sz w:val="22"/>
          <w:szCs w:val="22"/>
        </w:rPr>
        <w:t xml:space="preserve">The dense retrieval approach works well for fact-seeking queries with specific numerical targets — the exact scenarios described in the motivation. For easy questions, the system retrieves a relevant chunk at rank 1 in 83.1% of cases, which is genuinely useful: a researcher asking 'What accuracy does self-consistency achieve on GSM8K?' gets the answer from the correct paper on the first try. The document-level source citation means users can verify every answer directly, which is the key trust-enabling property that standard LLM responses lack.</w:t>
      </w:r>
    </w:p>
    <w:p>
      <w:pPr>
        <w:spacing w:after="100" w:before="80" w:line="276"/>
        <w:jc w:val="both"/>
      </w:pPr>
      <w:r>
        <w:rPr>
          <w:rFonts w:ascii="Times New Roman" w:cs="Times New Roman" w:eastAsia="Times New Roman" w:hAnsi="Times New Roman"/>
          <w:b w:val="false"/>
          <w:bCs w:val="false"/>
          <w:i w:val="false"/>
          <w:iCs w:val="false"/>
          <w:color w:val="000000"/>
          <w:sz w:val="22"/>
          <w:szCs w:val="22"/>
        </w:rPr>
        <w:t xml:space="preserve">The three-topic corpus design paid off for evaluation: it revealed a statistically meaningful performance gap between the dense sub-corpus (CoT Reasoning, RLHF) and the sparse sub-corpus (Efficient Inference). This would not have been visible with a single-topic corpus. The gap confirms that RAG system quality is a function of both retrieval architecture and corpus composition — a result that is actually publishable as a design recommendation.</w:t>
      </w:r>
    </w:p>
    <w:p>
      <w:pPr>
        <w:spacing w:after="60" w:before="160"/>
      </w:pPr>
      <w:r>
        <w:rPr>
          <w:rFonts w:ascii="Arial" w:cs="Arial" w:eastAsia="Arial" w:hAnsi="Arial"/>
          <w:b/>
          <w:bCs/>
          <w:color w:val="2E75B6"/>
          <w:sz w:val="23"/>
          <w:szCs w:val="23"/>
        </w:rPr>
        <w:t xml:space="preserve">4.2  What Failed</w:t>
      </w:r>
    </w:p>
    <w:p>
      <w:pPr>
        <w:spacing w:after="100" w:before="80" w:line="276"/>
        <w:jc w:val="both"/>
      </w:pPr>
      <w:r>
        <w:rPr>
          <w:rFonts w:ascii="Times New Roman" w:cs="Times New Roman" w:eastAsia="Times New Roman" w:hAnsi="Times New Roman"/>
          <w:b w:val="false"/>
          <w:bCs w:val="false"/>
          <w:i w:val="false"/>
          <w:iCs w:val="false"/>
          <w:color w:val="000000"/>
          <w:sz w:val="22"/>
          <w:szCs w:val="22"/>
        </w:rPr>
        <w:t xml:space="preserve">The system performs poorly on Hard questions (MRR 0.521), and this gap is primarily structural, not a model limitation. Fixed-size chunking does not respect document structure: a table comparing three methods might be split across two chunks, making it invisible to the retriever even though both halves are present in the corpus. We also observed that some papers in the efficient inference sub-topic use highly technical notation (INT4, NF4, GPTQ) that the embedding model may not encode as well as natural language — these papers showed consistently lower retrieval scores even for easy questions.</w:t>
      </w:r>
    </w:p>
    <w:p>
      <w:pPr>
        <w:spacing w:after="100" w:before="80" w:line="276"/>
        <w:jc w:val="both"/>
      </w:pPr>
      <w:r>
        <w:rPr>
          <w:rFonts w:ascii="Times New Roman" w:cs="Times New Roman" w:eastAsia="Times New Roman" w:hAnsi="Times New Roman"/>
          <w:b w:val="false"/>
          <w:bCs w:val="false"/>
          <w:i w:val="false"/>
          <w:iCs w:val="false"/>
          <w:color w:val="000000"/>
          <w:sz w:val="22"/>
          <w:szCs w:val="22"/>
        </w:rPr>
        <w:t xml:space="preserve">A secondary failure is what we call the 'abstract ceiling': because the abstract and introduction of each paper are dense with terminology from the entire paper, they tend to match many different queries at a moderate score, pulling down P@1 by returning abstract chunks instead of the specific methods or results chunks that contain the actual answer.</w:t>
      </w:r>
    </w:p>
    <w:p>
      <w:pPr>
        <w:spacing w:after="60" w:before="160"/>
      </w:pPr>
      <w:r>
        <w:rPr>
          <w:rFonts w:ascii="Arial" w:cs="Arial" w:eastAsia="Arial" w:hAnsi="Arial"/>
          <w:b/>
          <w:bCs/>
          <w:color w:val="2E75B6"/>
          <w:sz w:val="23"/>
          <w:szCs w:val="23"/>
        </w:rPr>
        <w:t xml:space="preserve">4.3  Does the System Actually Help?</w:t>
      </w:r>
    </w:p>
    <w:p>
      <w:pPr>
        <w:spacing w:after="100" w:before="80" w:line="276"/>
        <w:jc w:val="both"/>
      </w:pPr>
      <w:r>
        <w:rPr>
          <w:rFonts w:ascii="Times New Roman" w:cs="Times New Roman" w:eastAsia="Times New Roman" w:hAnsi="Times New Roman"/>
          <w:b w:val="false"/>
          <w:bCs w:val="false"/>
          <w:i w:val="false"/>
          <w:iCs w:val="false"/>
          <w:color w:val="000000"/>
          <w:sz w:val="22"/>
          <w:szCs w:val="22"/>
        </w:rPr>
        <w:t xml:space="preserve">Honestly, yes — but with significant caveats. For a researcher who knows roughly which paper contains an answer, this system reliably surfaces the right chunk within the top 5 results (Hit@5 = 0.838). For a researcher who does not know which paper contains the answer, the system provides a useful starting point but not a definitive answer, particularly for Hard analytical questions (Hit@5 = 0.706).</w:t>
      </w:r>
    </w:p>
    <w:p>
      <w:pPr>
        <w:spacing w:after="100" w:before="80" w:line="276"/>
        <w:jc w:val="both"/>
      </w:pPr>
      <w:r>
        <w:rPr>
          <w:rFonts w:ascii="Times New Roman" w:cs="Times New Roman" w:eastAsia="Times New Roman" w:hAnsi="Times New Roman"/>
          <w:b w:val="false"/>
          <w:bCs w:val="false"/>
          <w:i w:val="false"/>
          <w:iCs w:val="false"/>
          <w:color w:val="000000"/>
          <w:sz w:val="22"/>
          <w:szCs w:val="22"/>
        </w:rPr>
        <w:t xml:space="preserve">The system is most useful as a retrieval layer that reduces the search space from 250 papers to 5 chunks — after which a human, or a second-stage LLM call, can read and verify. The gap between Recall@5 (0.824) and Recall@1 (0.645) shows that ranking remains the hardest sub-problem. A cross-encoder re-ranker — which scores each retrieved chunk against the query using full attention, not just embedding similarity — is the most promising next step and the one improvement most likely to convert this prototype into a genuinely useful research tool.</w:t>
      </w:r>
    </w:p>
    <w:p>
      <w:pPr>
        <w:spacing w:after="60" w:before="160"/>
      </w:pPr>
      <w:r>
        <w:rPr>
          <w:rFonts w:ascii="Arial" w:cs="Arial" w:eastAsia="Arial" w:hAnsi="Arial"/>
          <w:b/>
          <w:bCs/>
          <w:color w:val="2E75B6"/>
          <w:sz w:val="23"/>
          <w:szCs w:val="23"/>
        </w:rPr>
        <w:t xml:space="preserve">4.4  Honest Negative Results</w:t>
      </w:r>
    </w:p>
    <w:p>
      <w:pPr>
        <w:spacing w:after="100" w:before="80" w:line="276"/>
        <w:jc w:val="both"/>
      </w:pPr>
      <w:r>
        <w:rPr>
          <w:rFonts w:ascii="Times New Roman" w:cs="Times New Roman" w:eastAsia="Times New Roman" w:hAnsi="Times New Roman"/>
          <w:b w:val="false"/>
          <w:bCs w:val="false"/>
          <w:i w:val="false"/>
          <w:iCs w:val="false"/>
          <w:color w:val="000000"/>
          <w:sz w:val="22"/>
          <w:szCs w:val="22"/>
        </w:rPr>
        <w:t xml:space="preserve">Two things we expected to work did not. First, we expected larger chunks (4,096 chars) to outperform medium chunks on Hard questions, under the hypothesis that larger context windows would be more likely to contain comparative tables intact. The results show the opposite: large chunks slightly underperform medium chunks even on Hard questions (MRR 0.521 vs 0.531 for hard queries). We believe this is because large chunks often contain content from two different sections of a paper, which adds noise to the embedding. Second, we expected the efficient inference sub-topic to perform comparably to the other topics given the same number of papers, but the lower absolute density of papers in that corpus — many efficient inference papers are systems papers with large evaluation sections that chunk differently than theory-focused CoT papers — appears to matter more than we anticipated.</w:t>
      </w:r>
    </w:p>
    <w:p>
      <w:pPr>
        <w:spacing w:after="0" w:before="60"/>
      </w:pPr>
      <w:r>
        <w:t xml:space="preserve"/>
      </w:r>
    </w:p>
    <w:p>
      <w:pPr>
        <w:pBdr>
          <w:bottom w:val="single" w:color="1F4E79" w:sz="6" w:space="4"/>
        </w:pBdr>
        <w:spacing w:after="100" w:before="240"/>
      </w:pPr>
      <w:r>
        <w:rPr>
          <w:rFonts w:ascii="Arial" w:cs="Arial" w:eastAsia="Arial" w:hAnsi="Arial"/>
          <w:b/>
          <w:bCs/>
          <w:color w:val="1F4E79"/>
          <w:sz w:val="26"/>
          <w:szCs w:val="26"/>
        </w:rPr>
        <w:t xml:space="preserve">5. References</w:t>
      </w:r>
    </w:p>
    <w:p>
      <w:pPr>
        <w:spacing w:after="60" w:before="80" w:line="276"/>
        <w:jc w:val="both"/>
      </w:pPr>
      <w:r>
        <w:rPr>
          <w:rFonts w:ascii="Times New Roman" w:cs="Times New Roman" w:eastAsia="Times New Roman" w:hAnsi="Times New Roman"/>
          <w:b w:val="false"/>
          <w:bCs w:val="false"/>
          <w:i w:val="false"/>
          <w:iCs w:val="false"/>
          <w:color w:val="000000"/>
          <w:sz w:val="22"/>
          <w:szCs w:val="22"/>
        </w:rPr>
        <w:t xml:space="preserve">[1] J. Wei, X. Wang, D. Schuurmans, M. Bosma, B. Ichter, F. Xia, E. Chi, Q. Le, and D. Zhou, 'Chain-of-Thought Prompting Elicits Reasoning in Large Language Models,' in Advances in Neural Information Processing Systems (NeurIPS), 2022.</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[2] T. Kojima, S. S. Gu, M. Reid, Y. Matsuo, and Y. Iwasawa, 'Large Language Models are Zero-Shot Reasoners,' in Advances in Neural Information Processing Systems (NeurIPS), 2022.</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[3] X. Wang, J. Wei, D. Schuurmans, Q. Le, E. Chi, S. Narang, A. Chowdhery, and D. Zhou, 'Self-Consistency Improves Chain of Thought Reasoning in Language Models,' in International Conference on Learning Representations (ICLR), 2023.</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[4] L. Ouyang, J. Wu, X. Jiang, D. Almeida, C. Wainwright, P. Mishkin, C. Zhang, S. Agarwal, K. Slama, A. Ray, et al., 'Training Language Models to Follow Instructions with Human Feedback,' in Advances in Neural Information Processing Systems (NeurIPS), 2022.</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[5] Y. Bai, A. Jones, K. Ndousse, A. Askell, A. Chen, N. DasSarma, D. Drain, S. Fort, D. Ganguli, T. Henighan, et al., 'Training a Helpful and Harmless Assistant with Reinforcement Learning from Human Feedback,' arXiv preprint arXiv:2204.05862, 2022.</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[6] E. Frantar, S. Ashkboos, T. Hoefler, and D. Alistarh, 'GPTQ: Accurate Post-Training Quantization for Generative Pre-trained Transformers,' in International Conference on Learning Representations (ICLR), 2023.</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[7] T. Dettmers, A. Pagnoni, A. Holtzman, and L. Zettlemoyer, 'QLoRA: Efficient Finetuning of Quantized LLMs,' in Advances in Neural Information Processing Systems (NeurIPS), 2023.</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[8] P. Lewis, E. Perez, A. Piktus, F. Petroni, V. Karpukhin, N. Goyal, H. Küttler, M. Lewis, W.-t. Yih, T. Rocktäschel, S. Riedel, and D. Kiela, 'Retrieval-Augmented Generation for Knowledge-Intensive NLP Tasks,' in Advances in Neural Information Processing Systems (NeurIPS), 2020.</w:t>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7"/>
        <w:szCs w:val="17"/>
      </w:rPr>
      <w:t xml:space="preserve">CS5202 · Spring 2026 · Domain B, Project 9  |  Page </w:t>
    </w:r>
    <w:r>
      <w:rPr>
        <w:rFonts w:ascii="Arial" w:cs="Arial" w:eastAsia="Arial" w:hAnsi="Arial"/>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2026-05-12T09:43:09.924Z</dcterms:created>
  <dcterms:modified xsi:type="dcterms:W3CDTF">2026-05-12T09:43:09.941Z</dcterms:modified>
</cp:coreProperties>
</file>

<file path=docProps/custom.xml><?xml version="1.0" encoding="utf-8"?>
<Properties xmlns="http://schemas.openxmlformats.org/officeDocument/2006/custom-properties" xmlns:vt="http://schemas.openxmlformats.org/officeDocument/2006/docPropsVTypes"/>
</file>