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Domain Note - Milestone 1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Scholar Stream  RAG System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color w:val="555555"/>
          <w:sz w:val="19"/>
          <w:szCs w:val="19"/>
        </w:rPr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CS5202 · GenAI and LLM · Spring 2026 · Domain B Indic NLP and Agentic AI (Project 9)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1. The Real Problem</w:t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Academic research produces thousands of papers annually. Researchers, students, and practitioners are routinely required to find specific facts, a benchmark score, a training configuration, an ablation result buried inside dense, 15-page documents. Manual search is infeasible at scale.</w:t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Keyword search engines fail because the same concept appears under different terminology across papers (e.g., 'chain-of-thought', 'scratchpad reasoning', 'step-by-step prompting'). Current solutions either require a subscription (Semantic Scholar, Elicit) or do not support private/domain-specific corpora.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2. Who It Affects</w:t>
      </w:r>
    </w:p>
    <w:p w:rsidR="00000000" w:rsidDel="00000000" w:rsidP="00000000" w:rsidRDefault="00000000" w:rsidRPr="00000000" w14:paraId="00000008">
      <w:pPr>
        <w:spacing w:after="40" w:before="40" w:lineRule="auto"/>
        <w:ind w:left="800" w:hanging="2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Graduate students conducting literature reviews, spending 8–12 hours per survey to extract factual claims from 20+ papers.</w:t>
      </w:r>
    </w:p>
    <w:p w:rsidR="00000000" w:rsidDel="00000000" w:rsidP="00000000" w:rsidRDefault="00000000" w:rsidRPr="00000000" w14:paraId="00000009">
      <w:pPr>
        <w:spacing w:after="40" w:before="40" w:lineRule="auto"/>
        <w:ind w:left="800" w:hanging="2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Research scientists at institutions without paid access to AI-powered search tools.</w:t>
      </w:r>
    </w:p>
    <w:p w:rsidR="00000000" w:rsidDel="00000000" w:rsidP="00000000" w:rsidRDefault="00000000" w:rsidRPr="00000000" w14:paraId="0000000A">
      <w:pPr>
        <w:spacing w:after="40" w:before="40" w:lineRule="auto"/>
        <w:ind w:left="800" w:hanging="2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Course instructors (such as CS5202 faculty) who need to verify student citations against source material quickly.</w:t>
      </w:r>
    </w:p>
    <w:p w:rsidR="00000000" w:rsidDel="00000000" w:rsidP="00000000" w:rsidRDefault="00000000" w:rsidRPr="00000000" w14:paraId="0000000B">
      <w:pPr>
        <w:spacing w:after="40" w:before="40" w:lineRule="auto"/>
        <w:ind w:left="800" w:hanging="2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AI teams in Indian industry building on top of published LLM research, needing rapid fact extraction without hallucination.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3. Why Existing Solutions Fall Short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6.852584307951"/>
        <w:gridCol w:w="5928.659226715672"/>
        <w:tblGridChange w:id="0">
          <w:tblGrid>
            <w:gridCol w:w="3096.852584307951"/>
            <w:gridCol w:w="5928.65922671567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Solution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Limitation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Keyword search (Google Scholar)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semantic understanding; misses terminological variation; returns full papers, not answers.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ChatGPT / GPT-4 (no RAG)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Hallucinates citations; has no access to private or recent papers; cannot cite exact table rows.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Elicit / Semantic Scholar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Subscription-gated; does not support private corpora; limited to their indexed papers only.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Manual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not scale beyond 5-10 papers; error-prone under time pressure; no reproducible trace.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60" w:lineRule="auto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4. Why Our Approach is Justified</w:t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We build a Retrieval-Augmented Generation (RAG) pipeline over a curated corpus of 18 LLM Reasoning papers (arXiv CS/AI). The approach is justified on three grounds:</w:t>
      </w:r>
    </w:p>
    <w:p w:rsidR="00000000" w:rsidDel="00000000" w:rsidP="00000000" w:rsidRDefault="00000000" w:rsidRPr="00000000" w14:paraId="00000019">
      <w:pPr>
        <w:spacing w:after="40" w:before="40" w:lineRule="auto"/>
        <w:ind w:left="800" w:hanging="2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Grounded answers: Every generated answer is sourced from a retrieved chunk with a document citation, hallucination is structurally constrained, not just discouraged.</w:t>
      </w:r>
    </w:p>
    <w:p w:rsidR="00000000" w:rsidDel="00000000" w:rsidP="00000000" w:rsidRDefault="00000000" w:rsidRPr="00000000" w14:paraId="0000001A">
      <w:pPr>
        <w:spacing w:after="40" w:before="40" w:lineRule="auto"/>
        <w:ind w:left="800" w:hanging="2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Private corpus support: The system operates entirely on locally downloaded PDFs, requiring no subscription and extending to any domain or institution's paper collection.</w:t>
      </w:r>
    </w:p>
    <w:p w:rsidR="00000000" w:rsidDel="00000000" w:rsidP="00000000" w:rsidRDefault="00000000" w:rsidRPr="00000000" w14:paraId="0000001B">
      <w:pPr>
        <w:spacing w:after="40" w:before="40" w:lineRule="auto"/>
        <w:ind w:left="800" w:hanging="260"/>
        <w:rPr>
          <w:sz w:val="21"/>
          <w:szCs w:val="2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1"/>
          <w:szCs w:val="21"/>
          <w:rtl w:val="0"/>
        </w:rPr>
        <w:t xml:space="preserve">Evaluable at Day 5: By fixing the domain to LLM Reasoning and pre-reading 5 papers to write 20 fact-seeking Q&amp;A pairs, we can measure Precision@K and MRR on retrieval before the generation layer is added , ensuring the pipeline is debuggable at each step.</w:t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 research gap is clear: no open-source, locally-runnable, domain-specific RAG system for academic paper Q&amp;A currently exists with a transparent evaluation protocol. This project fills that gap for the LLM Reasoning domain and provides a template applicable to Indian legal, medical, and agricultural literature.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jc w:val="left"/>
        <w:rPr>
          <w:color w:val="888888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