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shd w:fill="F7F9FA" w:val="clear"/>
          </w:tcPr>
          <w:p>
            <w:pPr>
              <w:spacing w:before="80" w:after="80"/>
            </w:pPr>
            <w:r/>
            <w:r>
              <w:rPr>
                <w:rFonts w:ascii="Calibri" w:hAnsi="Calibri"/>
                <w:b/>
                <w:sz w:val="28"/>
              </w:rPr>
              <w:t>ACO Agent  |  Automated Compliance Auditor</w:t>
            </w:r>
          </w:p>
        </w:tc>
        <w:tc>
          <w:tcPr>
            <w:tcW w:type="dxa" w:w="4320"/>
            <w:shd w:fill="F7F9FA" w:val="clear"/>
          </w:tcPr>
          <w:p>
            <w:pPr>
              <w:spacing w:before="80" w:after="80"/>
            </w:pPr>
            <w:r/>
            <w:r>
              <w:rPr>
                <w:rFonts w:ascii="Calibri" w:hAnsi="Calibri"/>
                <w:b w:val="0"/>
                <w:color w:val="646464"/>
                <w:sz w:val="18"/>
              </w:rPr>
              <w:t>Sri Kavuru</w:t>
              <w:br/>
              <w:t>Corporate Recruiter, Services</w:t>
            </w:r>
          </w:p>
        </w:tc>
      </w:tr>
      <w:tr>
        <w:tc>
          <w:tcPr>
            <w:tcW w:type="dxa" w:w="4320"/>
            <w:shd w:fill="F7F9FA" w:val="clear"/>
          </w:tcPr>
          <w:p>
            <w:pPr>
              <w:spacing w:before="80" w:after="80"/>
            </w:pPr>
            <w:r/>
            <w:r>
              <w:rPr>
                <w:rFonts w:ascii="Calibri" w:hAnsi="Calibri"/>
                <w:b w:val="0"/>
                <w:color w:val="646464"/>
                <w:sz w:val="18"/>
              </w:rPr>
              <w:t>Decision support for Vertiv job posting compliance — human publish authority only</w:t>
            </w:r>
          </w:p>
        </w:tc>
        <w:tc>
          <w:tcPr>
            <w:tcW w:type="dxa" w:w="4320"/>
            <w:shd w:fill="F7F9FA" w:val="clear"/>
          </w:tcPr>
          <w:p>
            <w:pPr>
              <w:spacing w:before="80" w:after="80"/>
            </w:pPr>
            <w:r/>
            <w:r>
              <w:rPr>
                <w:rFonts w:ascii="Calibri" w:hAnsi="Calibri"/>
                <w:b w:val="0"/>
                <w:color w:val="646464"/>
                <w:sz w:val="18"/>
              </w:rPr>
              <w:t>v2.0  |  June 2026</w:t>
              <w:br/>
              <w:t>Internal Use Only</w:t>
            </w:r>
          </w:p>
        </w:tc>
      </w:tr>
    </w:tbl>
    <w:p/>
    <w:p>
      <w:r>
        <w:rPr>
          <w:b/>
          <w:sz w:val="24"/>
        </w:rPr>
        <w:t>WHAT IS IT</w:t>
      </w:r>
    </w:p>
    <w:p>
      <w:r>
        <w:t>ACO Agent is an internal compliance auditing tool that screens Vertiv job descriptions before they reach candidates. It automatically checks for missing legal disclosures, biased language, pay transparency violations, and brand deviations — then returns a structured Audit Certificate with severity-ranked findings, legal citations, and ready-to-paste remediation language. ACO never blocks a posting on its own. It surfaces issues. Recruiters own the decision.</w:t>
      </w:r>
    </w:p>
    <w:p>
      <w:r>
        <w:rPr>
          <w:b/>
          <w:sz w:val="24"/>
        </w:rPr>
        <w:t>HOW IT WORKS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E8F5E9" w:val="clear"/>
          </w:tcPr>
          <w:p>
            <w:pPr>
              <w:jc w:val="center"/>
            </w:pPr>
            <w:r/>
            <w:r>
              <w:rPr>
                <w:rFonts w:ascii="Calibri" w:hAnsi="Calibri"/>
                <w:b/>
                <w:sz w:val="18"/>
              </w:rPr>
              <w:t>1  Submit JD</w:t>
            </w:r>
          </w:p>
        </w:tc>
        <w:tc>
          <w:tcPr>
            <w:tcW w:type="dxa" w:w="1728"/>
            <w:shd w:fill="E8F5E9" w:val="clear"/>
          </w:tcPr>
          <w:p>
            <w:pPr>
              <w:jc w:val="center"/>
            </w:pPr>
            <w:r/>
            <w:r>
              <w:rPr>
                <w:rFonts w:ascii="Calibri" w:hAnsi="Calibri"/>
                <w:b/>
                <w:sz w:val="18"/>
              </w:rPr>
              <w:t>2  Rule Engine</w:t>
            </w:r>
          </w:p>
        </w:tc>
        <w:tc>
          <w:tcPr>
            <w:tcW w:type="dxa" w:w="1728"/>
            <w:shd w:fill="E8F5E9" w:val="clear"/>
          </w:tcPr>
          <w:p>
            <w:pPr>
              <w:jc w:val="center"/>
            </w:pPr>
            <w:r/>
            <w:r>
              <w:rPr>
                <w:rFonts w:ascii="Calibri" w:hAnsi="Calibri"/>
                <w:b/>
                <w:sz w:val="18"/>
              </w:rPr>
              <w:t>3  Audit Certificate</w:t>
            </w:r>
          </w:p>
        </w:tc>
        <w:tc>
          <w:tcPr>
            <w:tcW w:type="dxa" w:w="1728"/>
            <w:shd w:fill="E8F5E9" w:val="clear"/>
          </w:tcPr>
          <w:p>
            <w:pPr>
              <w:jc w:val="center"/>
            </w:pPr>
            <w:r/>
            <w:r>
              <w:rPr>
                <w:rFonts w:ascii="Calibri" w:hAnsi="Calibri"/>
                <w:b/>
                <w:sz w:val="18"/>
              </w:rPr>
              <w:t>4  Recruiter Reviews</w:t>
            </w:r>
          </w:p>
        </w:tc>
        <w:tc>
          <w:tcPr>
            <w:tcW w:type="dxa" w:w="1728"/>
            <w:shd w:fill="E8F5E9" w:val="clear"/>
          </w:tcPr>
          <w:p>
            <w:pPr>
              <w:jc w:val="center"/>
            </w:pPr>
            <w:r/>
            <w:r>
              <w:rPr>
                <w:rFonts w:ascii="Calibri" w:hAnsi="Calibri"/>
                <w:b/>
                <w:sz w:val="18"/>
              </w:rPr>
              <w:t>5  Publish</w:t>
            </w:r>
          </w:p>
        </w:tc>
      </w:tr>
    </w:tbl>
    <w:p/>
    <w:p>
      <w:r>
        <w:rPr>
          <w:b/>
          <w:sz w:val="24"/>
        </w:rPr>
        <w:t>THE RULES — 24 TOTAL ACROSS 5 CATEGORIES</w:t>
      </w:r>
    </w:p>
    <w:tbl>
      <w:tblPr>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
              <w:rPr>
                <w:rFonts w:ascii="Calibri" w:hAnsi="Calibri"/>
                <w:b/>
                <w:color w:val="FFFFFF"/>
                <w:sz w:val="18"/>
              </w:rPr>
              <w:t>Rule ID</w:t>
            </w:r>
          </w:p>
        </w:tc>
        <w:tc>
          <w:tcPr>
            <w:tcW w:type="dxa" w:w="2160"/>
            <w:shd w:fill="2C3E50" w:val="clear"/>
          </w:tcPr>
          <w:p>
            <w:r/>
            <w:r>
              <w:rPr>
                <w:rFonts w:ascii="Calibri" w:hAnsi="Calibri"/>
                <w:b/>
                <w:color w:val="FFFFFF"/>
                <w:sz w:val="18"/>
              </w:rPr>
              <w:t>Rule Name</w:t>
            </w:r>
          </w:p>
        </w:tc>
        <w:tc>
          <w:tcPr>
            <w:tcW w:type="dxa" w:w="2160"/>
            <w:shd w:fill="2C3E50" w:val="clear"/>
          </w:tcPr>
          <w:p>
            <w:r/>
            <w:r>
              <w:rPr>
                <w:rFonts w:ascii="Calibri" w:hAnsi="Calibri"/>
                <w:b/>
                <w:color w:val="FFFFFF"/>
                <w:sz w:val="18"/>
              </w:rPr>
              <w:t>Severity</w:t>
            </w:r>
          </w:p>
        </w:tc>
        <w:tc>
          <w:tcPr>
            <w:tcW w:type="dxa" w:w="2160"/>
            <w:shd w:fill="2C3E50" w:val="clear"/>
          </w:tcPr>
          <w:p>
            <w:r/>
            <w:r>
              <w:rPr>
                <w:rFonts w:ascii="Calibri" w:hAnsi="Calibri"/>
                <w:b/>
                <w:color w:val="FFFFFF"/>
                <w:sz w:val="18"/>
              </w:rPr>
              <w:t>Category</w:t>
            </w:r>
          </w:p>
        </w:tc>
      </w:tr>
      <w:tr>
        <w:tc>
          <w:tcPr>
            <w:tcW w:type="dxa" w:w="2160"/>
            <w:shd w:fill="FFFFFF" w:val="clear"/>
          </w:tcPr>
          <w:p>
            <w:r/>
            <w:r>
              <w:rPr>
                <w:rFonts w:ascii="Calibri" w:hAnsi="Calibri"/>
                <w:b w:val="0"/>
                <w:sz w:val="18"/>
              </w:rPr>
              <w:t>RD-001</w:t>
            </w:r>
          </w:p>
        </w:tc>
        <w:tc>
          <w:tcPr>
            <w:tcW w:type="dxa" w:w="2160"/>
            <w:shd w:fill="FFFFFF" w:val="clear"/>
          </w:tcPr>
          <w:p>
            <w:r/>
            <w:r>
              <w:rPr>
                <w:rFonts w:ascii="Calibri" w:hAnsi="Calibri"/>
                <w:b w:val="0"/>
                <w:sz w:val="18"/>
              </w:rPr>
              <w:t>EEO Statement</w:t>
            </w:r>
          </w:p>
        </w:tc>
        <w:tc>
          <w:tcPr>
            <w:tcW w:type="dxa" w:w="2160"/>
            <w:shd w:fill="FFFFFF" w:val="clear"/>
          </w:tcPr>
          <w:p>
            <w:r/>
            <w:r>
              <w:rPr>
                <w:rFonts w:ascii="Calibri" w:hAnsi="Calibri"/>
                <w:b/>
                <w:color w:val="C0392B"/>
                <w:sz w:val="18"/>
              </w:rPr>
              <w:t>CRITICAL</w:t>
            </w:r>
          </w:p>
        </w:tc>
        <w:tc>
          <w:tcPr>
            <w:tcW w:type="dxa" w:w="2160"/>
            <w:shd w:fill="FFFFFF" w:val="clear"/>
          </w:tcPr>
          <w:p>
            <w:r/>
            <w:r>
              <w:rPr>
                <w:rFonts w:ascii="Calibri" w:hAnsi="Calibri"/>
                <w:b w:val="0"/>
                <w:color w:val="646464"/>
                <w:sz w:val="18"/>
              </w:rPr>
              <w:t>Required Disclaimers</w:t>
            </w:r>
          </w:p>
        </w:tc>
      </w:tr>
      <w:tr>
        <w:tc>
          <w:tcPr>
            <w:tcW w:type="dxa" w:w="2160"/>
            <w:shd w:fill="F7F9FA" w:val="clear"/>
          </w:tcPr>
          <w:p>
            <w:r/>
            <w:r>
              <w:rPr>
                <w:rFonts w:ascii="Calibri" w:hAnsi="Calibri"/>
                <w:b w:val="0"/>
                <w:sz w:val="18"/>
              </w:rPr>
              <w:t>RD-002</w:t>
            </w:r>
          </w:p>
        </w:tc>
        <w:tc>
          <w:tcPr>
            <w:tcW w:type="dxa" w:w="2160"/>
            <w:shd w:fill="F7F9FA" w:val="clear"/>
          </w:tcPr>
          <w:p>
            <w:r/>
            <w:r>
              <w:rPr>
                <w:rFonts w:ascii="Calibri" w:hAnsi="Calibri"/>
                <w:b w:val="0"/>
                <w:sz w:val="18"/>
              </w:rPr>
              <w:t>Reasonable Accommodation (ADA)</w:t>
            </w:r>
          </w:p>
        </w:tc>
        <w:tc>
          <w:tcPr>
            <w:tcW w:type="dxa" w:w="2160"/>
            <w:shd w:fill="F7F9FA" w:val="clear"/>
          </w:tcPr>
          <w:p>
            <w:r/>
            <w:r>
              <w:rPr>
                <w:rFonts w:ascii="Calibri" w:hAnsi="Calibri"/>
                <w:b/>
                <w:color w:val="C0392B"/>
                <w:sz w:val="18"/>
              </w:rPr>
              <w:t>CRITICAL</w:t>
            </w:r>
          </w:p>
        </w:tc>
        <w:tc>
          <w:tcPr>
            <w:tcW w:type="dxa" w:w="2160"/>
            <w:shd w:fill="F7F9FA" w:val="clear"/>
          </w:tcPr>
          <w:p>
            <w:r/>
            <w:r>
              <w:rPr>
                <w:rFonts w:ascii="Calibri" w:hAnsi="Calibri"/>
                <w:b w:val="0"/>
                <w:color w:val="646464"/>
                <w:sz w:val="18"/>
              </w:rPr>
              <w:t>Required Disclaimers</w:t>
            </w:r>
          </w:p>
        </w:tc>
      </w:tr>
      <w:tr>
        <w:tc>
          <w:tcPr>
            <w:tcW w:type="dxa" w:w="2160"/>
            <w:shd w:fill="FFFFFF" w:val="clear"/>
          </w:tcPr>
          <w:p>
            <w:r/>
            <w:r>
              <w:rPr>
                <w:rFonts w:ascii="Calibri" w:hAnsi="Calibri"/>
                <w:b w:val="0"/>
                <w:sz w:val="18"/>
              </w:rPr>
              <w:t>RD-003</w:t>
            </w:r>
          </w:p>
        </w:tc>
        <w:tc>
          <w:tcPr>
            <w:tcW w:type="dxa" w:w="2160"/>
            <w:shd w:fill="FFFFFF" w:val="clear"/>
          </w:tcPr>
          <w:p>
            <w:r/>
            <w:r>
              <w:rPr>
                <w:rFonts w:ascii="Calibri" w:hAnsi="Calibri"/>
                <w:b w:val="0"/>
                <w:sz w:val="18"/>
              </w:rPr>
              <w:t>Pay Transparency Non-Discrimination</w:t>
            </w:r>
          </w:p>
        </w:tc>
        <w:tc>
          <w:tcPr>
            <w:tcW w:type="dxa" w:w="2160"/>
            <w:shd w:fill="FFFFFF" w:val="clear"/>
          </w:tcPr>
          <w:p>
            <w:r/>
            <w:r>
              <w:rPr>
                <w:rFonts w:ascii="Calibri" w:hAnsi="Calibri"/>
                <w:b/>
                <w:color w:val="E67E22"/>
                <w:sz w:val="18"/>
              </w:rPr>
              <w:t>HIGH</w:t>
            </w:r>
          </w:p>
        </w:tc>
        <w:tc>
          <w:tcPr>
            <w:tcW w:type="dxa" w:w="2160"/>
            <w:shd w:fill="FFFFFF" w:val="clear"/>
          </w:tcPr>
          <w:p>
            <w:r/>
            <w:r>
              <w:rPr>
                <w:rFonts w:ascii="Calibri" w:hAnsi="Calibri"/>
                <w:b w:val="0"/>
                <w:color w:val="646464"/>
                <w:sz w:val="18"/>
              </w:rPr>
              <w:t>Required Disclaimers</w:t>
            </w:r>
          </w:p>
        </w:tc>
      </w:tr>
      <w:tr>
        <w:tc>
          <w:tcPr>
            <w:tcW w:type="dxa" w:w="2160"/>
            <w:shd w:fill="F7F9FA" w:val="clear"/>
          </w:tcPr>
          <w:p>
            <w:r/>
            <w:r>
              <w:rPr>
                <w:rFonts w:ascii="Calibri" w:hAnsi="Calibri"/>
                <w:b w:val="0"/>
                <w:sz w:val="18"/>
              </w:rPr>
              <w:t>RD-004</w:t>
            </w:r>
          </w:p>
        </w:tc>
        <w:tc>
          <w:tcPr>
            <w:tcW w:type="dxa" w:w="2160"/>
            <w:shd w:fill="F7F9FA" w:val="clear"/>
          </w:tcPr>
          <w:p>
            <w:r/>
            <w:r>
              <w:rPr>
                <w:rFonts w:ascii="Calibri" w:hAnsi="Calibri"/>
                <w:b w:val="0"/>
                <w:sz w:val="18"/>
              </w:rPr>
              <w:t>E-Verify Participation</w:t>
            </w:r>
          </w:p>
        </w:tc>
        <w:tc>
          <w:tcPr>
            <w:tcW w:type="dxa" w:w="2160"/>
            <w:shd w:fill="F7F9FA" w:val="clear"/>
          </w:tcPr>
          <w:p>
            <w:r/>
            <w:r>
              <w:rPr>
                <w:rFonts w:ascii="Calibri" w:hAnsi="Calibri"/>
                <w:b/>
                <w:color w:val="F39C12"/>
                <w:sz w:val="18"/>
              </w:rPr>
              <w:t>MEDIUM</w:t>
            </w:r>
          </w:p>
        </w:tc>
        <w:tc>
          <w:tcPr>
            <w:tcW w:type="dxa" w:w="2160"/>
            <w:shd w:fill="F7F9FA" w:val="clear"/>
          </w:tcPr>
          <w:p>
            <w:r/>
            <w:r>
              <w:rPr>
                <w:rFonts w:ascii="Calibri" w:hAnsi="Calibri"/>
                <w:b w:val="0"/>
                <w:color w:val="646464"/>
                <w:sz w:val="18"/>
              </w:rPr>
              <w:t>Required Disclaimers</w:t>
            </w:r>
          </w:p>
        </w:tc>
      </w:tr>
      <w:tr>
        <w:tc>
          <w:tcPr>
            <w:tcW w:type="dxa" w:w="2160"/>
            <w:shd w:fill="FFFFFF" w:val="clear"/>
          </w:tcPr>
          <w:p>
            <w:r/>
            <w:r>
              <w:rPr>
                <w:rFonts w:ascii="Calibri" w:hAnsi="Calibri"/>
                <w:b w:val="0"/>
                <w:sz w:val="18"/>
              </w:rPr>
              <w:t>RD-005</w:t>
            </w:r>
          </w:p>
        </w:tc>
        <w:tc>
          <w:tcPr>
            <w:tcW w:type="dxa" w:w="2160"/>
            <w:shd w:fill="FFFFFF" w:val="clear"/>
          </w:tcPr>
          <w:p>
            <w:r/>
            <w:r>
              <w:rPr>
                <w:rFonts w:ascii="Calibri" w:hAnsi="Calibri"/>
                <w:b w:val="0"/>
                <w:sz w:val="18"/>
              </w:rPr>
              <w:t>Core Principals &amp; Behaviors Block</w:t>
            </w:r>
          </w:p>
        </w:tc>
        <w:tc>
          <w:tcPr>
            <w:tcW w:type="dxa" w:w="2160"/>
            <w:shd w:fill="FFFFFF" w:val="clear"/>
          </w:tcPr>
          <w:p>
            <w:r/>
            <w:r>
              <w:rPr>
                <w:rFonts w:ascii="Calibri" w:hAnsi="Calibri"/>
                <w:b/>
                <w:color w:val="C0392B"/>
                <w:sz w:val="18"/>
              </w:rPr>
              <w:t>CRITICAL</w:t>
            </w:r>
          </w:p>
        </w:tc>
        <w:tc>
          <w:tcPr>
            <w:tcW w:type="dxa" w:w="2160"/>
            <w:shd w:fill="FFFFFF" w:val="clear"/>
          </w:tcPr>
          <w:p>
            <w:r/>
            <w:r>
              <w:rPr>
                <w:rFonts w:ascii="Calibri" w:hAnsi="Calibri"/>
                <w:b w:val="0"/>
                <w:color w:val="646464"/>
                <w:sz w:val="18"/>
              </w:rPr>
              <w:t>Required Disclaimers</w:t>
            </w:r>
          </w:p>
        </w:tc>
      </w:tr>
      <w:tr>
        <w:tc>
          <w:tcPr>
            <w:tcW w:type="dxa" w:w="2160"/>
            <w:shd w:fill="F7F9FA" w:val="clear"/>
          </w:tcPr>
          <w:p>
            <w:r/>
            <w:r>
              <w:rPr>
                <w:rFonts w:ascii="Calibri" w:hAnsi="Calibri"/>
                <w:b w:val="0"/>
                <w:sz w:val="18"/>
              </w:rPr>
              <w:t>RD-006</w:t>
            </w:r>
          </w:p>
        </w:tc>
        <w:tc>
          <w:tcPr>
            <w:tcW w:type="dxa" w:w="2160"/>
            <w:shd w:fill="F7F9FA" w:val="clear"/>
          </w:tcPr>
          <w:p>
            <w:r/>
            <w:r>
              <w:rPr>
                <w:rFonts w:ascii="Calibri" w:hAnsi="Calibri"/>
                <w:b w:val="0"/>
                <w:sz w:val="18"/>
              </w:rPr>
              <w:t>Vertiv About Us Boilerplate</w:t>
            </w:r>
          </w:p>
        </w:tc>
        <w:tc>
          <w:tcPr>
            <w:tcW w:type="dxa" w:w="2160"/>
            <w:shd w:fill="F7F9FA" w:val="clear"/>
          </w:tcPr>
          <w:p>
            <w:r/>
            <w:r>
              <w:rPr>
                <w:rFonts w:ascii="Calibri" w:hAnsi="Calibri"/>
                <w:b/>
                <w:color w:val="E67E22"/>
                <w:sz w:val="18"/>
              </w:rPr>
              <w:t>HIGH</w:t>
            </w:r>
          </w:p>
        </w:tc>
        <w:tc>
          <w:tcPr>
            <w:tcW w:type="dxa" w:w="2160"/>
            <w:shd w:fill="F7F9FA" w:val="clear"/>
          </w:tcPr>
          <w:p>
            <w:r/>
            <w:r>
              <w:rPr>
                <w:rFonts w:ascii="Calibri" w:hAnsi="Calibri"/>
                <w:b w:val="0"/>
                <w:color w:val="646464"/>
                <w:sz w:val="18"/>
              </w:rPr>
              <w:t>Required Disclaimers</w:t>
            </w:r>
          </w:p>
        </w:tc>
      </w:tr>
      <w:tr>
        <w:tc>
          <w:tcPr>
            <w:tcW w:type="dxa" w:w="2160"/>
            <w:shd w:fill="FFFFFF" w:val="clear"/>
          </w:tcPr>
          <w:p>
            <w:r/>
            <w:r>
              <w:rPr>
                <w:rFonts w:ascii="Calibri" w:hAnsi="Calibri"/>
                <w:b w:val="0"/>
                <w:sz w:val="18"/>
              </w:rPr>
              <w:t>RD-007</w:t>
            </w:r>
          </w:p>
        </w:tc>
        <w:tc>
          <w:tcPr>
            <w:tcW w:type="dxa" w:w="2160"/>
            <w:shd w:fill="FFFFFF" w:val="clear"/>
          </w:tcPr>
          <w:p>
            <w:r/>
            <w:r>
              <w:rPr>
                <w:rFonts w:ascii="Calibri" w:hAnsi="Calibri"/>
                <w:b w:val="0"/>
                <w:sz w:val="18"/>
              </w:rPr>
              <w:t>Work Authorization &amp; No Sponsorship</w:t>
            </w:r>
          </w:p>
        </w:tc>
        <w:tc>
          <w:tcPr>
            <w:tcW w:type="dxa" w:w="2160"/>
            <w:shd w:fill="FFFFFF" w:val="clear"/>
          </w:tcPr>
          <w:p>
            <w:r/>
            <w:r>
              <w:rPr>
                <w:rFonts w:ascii="Calibri" w:hAnsi="Calibri"/>
                <w:b/>
                <w:color w:val="C0392B"/>
                <w:sz w:val="18"/>
              </w:rPr>
              <w:t>CRITICAL</w:t>
            </w:r>
          </w:p>
        </w:tc>
        <w:tc>
          <w:tcPr>
            <w:tcW w:type="dxa" w:w="2160"/>
            <w:shd w:fill="FFFFFF" w:val="clear"/>
          </w:tcPr>
          <w:p>
            <w:r/>
            <w:r>
              <w:rPr>
                <w:rFonts w:ascii="Calibri" w:hAnsi="Calibri"/>
                <w:b w:val="0"/>
                <w:color w:val="646464"/>
                <w:sz w:val="18"/>
              </w:rPr>
              <w:t>Required Disclaimers</w:t>
            </w:r>
          </w:p>
        </w:tc>
      </w:tr>
      <w:tr>
        <w:tc>
          <w:tcPr>
            <w:tcW w:type="dxa" w:w="2160"/>
            <w:shd w:fill="F7F9FA" w:val="clear"/>
          </w:tcPr>
          <w:p>
            <w:r/>
            <w:r>
              <w:rPr>
                <w:rFonts w:ascii="Calibri" w:hAnsi="Calibri"/>
                <w:b w:val="0"/>
                <w:sz w:val="18"/>
              </w:rPr>
              <w:t>ST-001</w:t>
            </w:r>
          </w:p>
        </w:tc>
        <w:tc>
          <w:tcPr>
            <w:tcW w:type="dxa" w:w="2160"/>
            <w:shd w:fill="F7F9FA" w:val="clear"/>
          </w:tcPr>
          <w:p>
            <w:r/>
            <w:r>
              <w:rPr>
                <w:rFonts w:ascii="Calibri" w:hAnsi="Calibri"/>
                <w:b w:val="0"/>
                <w:sz w:val="18"/>
              </w:rPr>
              <w:t>Pay Range Disclosure (17 Mandatory States)</w:t>
            </w:r>
          </w:p>
        </w:tc>
        <w:tc>
          <w:tcPr>
            <w:tcW w:type="dxa" w:w="2160"/>
            <w:shd w:fill="F7F9FA" w:val="clear"/>
          </w:tcPr>
          <w:p>
            <w:r/>
            <w:r>
              <w:rPr>
                <w:rFonts w:ascii="Calibri" w:hAnsi="Calibri"/>
                <w:b/>
                <w:color w:val="C0392B"/>
                <w:sz w:val="18"/>
              </w:rPr>
              <w:t>CRITICAL</w:t>
            </w:r>
          </w:p>
        </w:tc>
        <w:tc>
          <w:tcPr>
            <w:tcW w:type="dxa" w:w="2160"/>
            <w:shd w:fill="F7F9FA" w:val="clear"/>
          </w:tcPr>
          <w:p>
            <w:r/>
            <w:r>
              <w:rPr>
                <w:rFonts w:ascii="Calibri" w:hAnsi="Calibri"/>
                <w:b w:val="0"/>
                <w:color w:val="646464"/>
                <w:sz w:val="18"/>
              </w:rPr>
              <w:t>Salary Transparency</w:t>
            </w:r>
          </w:p>
        </w:tc>
      </w:tr>
      <w:tr>
        <w:tc>
          <w:tcPr>
            <w:tcW w:type="dxa" w:w="2160"/>
            <w:shd w:fill="FFFFFF" w:val="clear"/>
          </w:tcPr>
          <w:p>
            <w:r/>
            <w:r>
              <w:rPr>
                <w:rFonts w:ascii="Calibri" w:hAnsi="Calibri"/>
                <w:b w:val="0"/>
                <w:sz w:val="18"/>
              </w:rPr>
              <w:t>ST-002</w:t>
            </w:r>
          </w:p>
        </w:tc>
        <w:tc>
          <w:tcPr>
            <w:tcW w:type="dxa" w:w="2160"/>
            <w:shd w:fill="FFFFFF" w:val="clear"/>
          </w:tcPr>
          <w:p>
            <w:r/>
            <w:r>
              <w:rPr>
                <w:rFonts w:ascii="Calibri" w:hAnsi="Calibri"/>
                <w:b w:val="0"/>
                <w:sz w:val="18"/>
              </w:rPr>
              <w:t>Benefits Disclosure</w:t>
            </w:r>
          </w:p>
        </w:tc>
        <w:tc>
          <w:tcPr>
            <w:tcW w:type="dxa" w:w="2160"/>
            <w:shd w:fill="FFFFFF" w:val="clear"/>
          </w:tcPr>
          <w:p>
            <w:r/>
            <w:r>
              <w:rPr>
                <w:rFonts w:ascii="Calibri" w:hAnsi="Calibri"/>
                <w:b/>
                <w:color w:val="E67E22"/>
                <w:sz w:val="18"/>
              </w:rPr>
              <w:t>HIGH</w:t>
            </w:r>
          </w:p>
        </w:tc>
        <w:tc>
          <w:tcPr>
            <w:tcW w:type="dxa" w:w="2160"/>
            <w:shd w:fill="FFFFFF" w:val="clear"/>
          </w:tcPr>
          <w:p>
            <w:r/>
            <w:r>
              <w:rPr>
                <w:rFonts w:ascii="Calibri" w:hAnsi="Calibri"/>
                <w:b w:val="0"/>
                <w:color w:val="646464"/>
                <w:sz w:val="18"/>
              </w:rPr>
              <w:t>Salary Transparency</w:t>
            </w:r>
          </w:p>
        </w:tc>
      </w:tr>
      <w:tr>
        <w:tc>
          <w:tcPr>
            <w:tcW w:type="dxa" w:w="2160"/>
            <w:shd w:fill="F7F9FA" w:val="clear"/>
          </w:tcPr>
          <w:p>
            <w:r/>
            <w:r>
              <w:rPr>
                <w:rFonts w:ascii="Calibri" w:hAnsi="Calibri"/>
                <w:b w:val="0"/>
                <w:sz w:val="18"/>
              </w:rPr>
              <w:t>ST-003</w:t>
            </w:r>
          </w:p>
        </w:tc>
        <w:tc>
          <w:tcPr>
            <w:tcW w:type="dxa" w:w="2160"/>
            <w:shd w:fill="F7F9FA" w:val="clear"/>
          </w:tcPr>
          <w:p>
            <w:r/>
            <w:r>
              <w:rPr>
                <w:rFonts w:ascii="Calibri" w:hAnsi="Calibri"/>
                <w:b w:val="0"/>
                <w:sz w:val="18"/>
              </w:rPr>
              <w:t>Colorado Application Deadline</w:t>
            </w:r>
          </w:p>
        </w:tc>
        <w:tc>
          <w:tcPr>
            <w:tcW w:type="dxa" w:w="2160"/>
            <w:shd w:fill="F7F9FA" w:val="clear"/>
          </w:tcPr>
          <w:p>
            <w:r/>
            <w:r>
              <w:rPr>
                <w:rFonts w:ascii="Calibri" w:hAnsi="Calibri"/>
                <w:b/>
                <w:color w:val="E67E22"/>
                <w:sz w:val="18"/>
              </w:rPr>
              <w:t>HIGH</w:t>
            </w:r>
          </w:p>
        </w:tc>
        <w:tc>
          <w:tcPr>
            <w:tcW w:type="dxa" w:w="2160"/>
            <w:shd w:fill="F7F9FA" w:val="clear"/>
          </w:tcPr>
          <w:p>
            <w:r/>
            <w:r>
              <w:rPr>
                <w:rFonts w:ascii="Calibri" w:hAnsi="Calibri"/>
                <w:b w:val="0"/>
                <w:color w:val="646464"/>
                <w:sz w:val="18"/>
              </w:rPr>
              <w:t>Salary Transparency</w:t>
            </w:r>
          </w:p>
        </w:tc>
      </w:tr>
      <w:tr>
        <w:tc>
          <w:tcPr>
            <w:tcW w:type="dxa" w:w="2160"/>
            <w:shd w:fill="FFFFFF" w:val="clear"/>
          </w:tcPr>
          <w:p>
            <w:r/>
            <w:r>
              <w:rPr>
                <w:rFonts w:ascii="Calibri" w:hAnsi="Calibri"/>
                <w:b w:val="0"/>
                <w:sz w:val="18"/>
              </w:rPr>
              <w:t>ST-004</w:t>
            </w:r>
          </w:p>
        </w:tc>
        <w:tc>
          <w:tcPr>
            <w:tcW w:type="dxa" w:w="2160"/>
            <w:shd w:fill="FFFFFF" w:val="clear"/>
          </w:tcPr>
          <w:p>
            <w:r/>
            <w:r>
              <w:rPr>
                <w:rFonts w:ascii="Calibri" w:hAnsi="Calibri"/>
                <w:b w:val="0"/>
                <w:sz w:val="18"/>
              </w:rPr>
              <w:t>Pay Transparency Locality Reference</w:t>
            </w:r>
          </w:p>
        </w:tc>
        <w:tc>
          <w:tcPr>
            <w:tcW w:type="dxa" w:w="2160"/>
            <w:shd w:fill="FFFFFF" w:val="clear"/>
          </w:tcPr>
          <w:p>
            <w:r/>
            <w:r>
              <w:rPr>
                <w:rFonts w:ascii="Calibri" w:hAnsi="Calibri"/>
                <w:b/>
                <w:color w:val="E67E22"/>
                <w:sz w:val="18"/>
              </w:rPr>
              <w:t>HIGH</w:t>
            </w:r>
          </w:p>
        </w:tc>
        <w:tc>
          <w:tcPr>
            <w:tcW w:type="dxa" w:w="2160"/>
            <w:shd w:fill="FFFFFF" w:val="clear"/>
          </w:tcPr>
          <w:p>
            <w:r/>
            <w:r>
              <w:rPr>
                <w:rFonts w:ascii="Calibri" w:hAnsi="Calibri"/>
                <w:b w:val="0"/>
                <w:color w:val="646464"/>
                <w:sz w:val="18"/>
              </w:rPr>
              <w:t>Salary Transparency</w:t>
            </w:r>
          </w:p>
        </w:tc>
      </w:tr>
      <w:tr>
        <w:tc>
          <w:tcPr>
            <w:tcW w:type="dxa" w:w="2160"/>
            <w:shd w:fill="F7F9FA" w:val="clear"/>
          </w:tcPr>
          <w:p>
            <w:r/>
            <w:r>
              <w:rPr>
                <w:rFonts w:ascii="Calibri" w:hAnsi="Calibri"/>
                <w:b w:val="0"/>
                <w:sz w:val="18"/>
              </w:rPr>
              <w:t>ST-005</w:t>
            </w:r>
          </w:p>
        </w:tc>
        <w:tc>
          <w:tcPr>
            <w:tcW w:type="dxa" w:w="2160"/>
            <w:shd w:fill="F7F9FA" w:val="clear"/>
          </w:tcPr>
          <w:p>
            <w:r/>
            <w:r>
              <w:rPr>
                <w:rFonts w:ascii="Calibri" w:hAnsi="Calibri"/>
                <w:b w:val="0"/>
                <w:sz w:val="18"/>
              </w:rPr>
              <w:t>Washington State Benefits Detail</w:t>
            </w:r>
          </w:p>
        </w:tc>
        <w:tc>
          <w:tcPr>
            <w:tcW w:type="dxa" w:w="2160"/>
            <w:shd w:fill="F7F9FA" w:val="clear"/>
          </w:tcPr>
          <w:p>
            <w:r/>
            <w:r>
              <w:rPr>
                <w:rFonts w:ascii="Calibri" w:hAnsi="Calibri"/>
                <w:b/>
                <w:color w:val="E67E22"/>
                <w:sz w:val="18"/>
              </w:rPr>
              <w:t>HIGH</w:t>
            </w:r>
          </w:p>
        </w:tc>
        <w:tc>
          <w:tcPr>
            <w:tcW w:type="dxa" w:w="2160"/>
            <w:shd w:fill="F7F9FA" w:val="clear"/>
          </w:tcPr>
          <w:p>
            <w:r/>
            <w:r>
              <w:rPr>
                <w:rFonts w:ascii="Calibri" w:hAnsi="Calibri"/>
                <w:b w:val="0"/>
                <w:color w:val="646464"/>
                <w:sz w:val="18"/>
              </w:rPr>
              <w:t>Salary Transparency</w:t>
            </w:r>
          </w:p>
        </w:tc>
      </w:tr>
      <w:tr>
        <w:tc>
          <w:tcPr>
            <w:tcW w:type="dxa" w:w="2160"/>
            <w:shd w:fill="FFFFFF" w:val="clear"/>
          </w:tcPr>
          <w:p>
            <w:r/>
            <w:r>
              <w:rPr>
                <w:rFonts w:ascii="Calibri" w:hAnsi="Calibri"/>
                <w:b w:val="0"/>
                <w:sz w:val="18"/>
              </w:rPr>
              <w:t>ST-006</w:t>
            </w:r>
          </w:p>
        </w:tc>
        <w:tc>
          <w:tcPr>
            <w:tcW w:type="dxa" w:w="2160"/>
            <w:shd w:fill="FFFFFF" w:val="clear"/>
          </w:tcPr>
          <w:p>
            <w:r/>
            <w:r>
              <w:rPr>
                <w:rFonts w:ascii="Calibri" w:hAnsi="Calibri"/>
                <w:b w:val="0"/>
                <w:sz w:val="18"/>
              </w:rPr>
              <w:t>Interview-Only Disclosure (NV, RI)</w:t>
            </w:r>
          </w:p>
        </w:tc>
        <w:tc>
          <w:tcPr>
            <w:tcW w:type="dxa" w:w="2160"/>
            <w:shd w:fill="FFFFFF" w:val="clear"/>
          </w:tcPr>
          <w:p>
            <w:r/>
            <w:r>
              <w:rPr>
                <w:rFonts w:ascii="Calibri" w:hAnsi="Calibri"/>
                <w:b/>
                <w:color w:val="27AE60"/>
                <w:sz w:val="18"/>
              </w:rPr>
              <w:t>LOW</w:t>
            </w:r>
          </w:p>
        </w:tc>
        <w:tc>
          <w:tcPr>
            <w:tcW w:type="dxa" w:w="2160"/>
            <w:shd w:fill="FFFFFF" w:val="clear"/>
          </w:tcPr>
          <w:p>
            <w:r/>
            <w:r>
              <w:rPr>
                <w:rFonts w:ascii="Calibri" w:hAnsi="Calibri"/>
                <w:b w:val="0"/>
                <w:color w:val="646464"/>
                <w:sz w:val="18"/>
              </w:rPr>
              <w:t>Salary Transparency</w:t>
            </w:r>
          </w:p>
        </w:tc>
      </w:tr>
      <w:tr>
        <w:tc>
          <w:tcPr>
            <w:tcW w:type="dxa" w:w="2160"/>
            <w:shd w:fill="F7F9FA" w:val="clear"/>
          </w:tcPr>
          <w:p>
            <w:r/>
            <w:r>
              <w:rPr>
                <w:rFonts w:ascii="Calibri" w:hAnsi="Calibri"/>
                <w:b w:val="0"/>
                <w:sz w:val="18"/>
              </w:rPr>
              <w:t>PL-001</w:t>
            </w:r>
          </w:p>
        </w:tc>
        <w:tc>
          <w:tcPr>
            <w:tcW w:type="dxa" w:w="2160"/>
            <w:shd w:fill="F7F9FA" w:val="clear"/>
          </w:tcPr>
          <w:p>
            <w:r/>
            <w:r>
              <w:rPr>
                <w:rFonts w:ascii="Calibri" w:hAnsi="Calibri"/>
                <w:b w:val="0"/>
                <w:sz w:val="18"/>
              </w:rPr>
              <w:t>Age-Biased Language</w:t>
            </w:r>
          </w:p>
        </w:tc>
        <w:tc>
          <w:tcPr>
            <w:tcW w:type="dxa" w:w="2160"/>
            <w:shd w:fill="F7F9FA" w:val="clear"/>
          </w:tcPr>
          <w:p>
            <w:r/>
            <w:r>
              <w:rPr>
                <w:rFonts w:ascii="Calibri" w:hAnsi="Calibri"/>
                <w:b/>
                <w:color w:val="C0392B"/>
                <w:sz w:val="18"/>
              </w:rPr>
              <w:t>CRITICAL</w:t>
            </w:r>
          </w:p>
        </w:tc>
        <w:tc>
          <w:tcPr>
            <w:tcW w:type="dxa" w:w="2160"/>
            <w:shd w:fill="F7F9FA" w:val="clear"/>
          </w:tcPr>
          <w:p>
            <w:r/>
            <w:r>
              <w:rPr>
                <w:rFonts w:ascii="Calibri" w:hAnsi="Calibri"/>
                <w:b w:val="0"/>
                <w:color w:val="646464"/>
                <w:sz w:val="18"/>
              </w:rPr>
              <w:t>Prohibited Language</w:t>
            </w:r>
          </w:p>
        </w:tc>
      </w:tr>
      <w:tr>
        <w:tc>
          <w:tcPr>
            <w:tcW w:type="dxa" w:w="2160"/>
            <w:shd w:fill="FFFFFF" w:val="clear"/>
          </w:tcPr>
          <w:p>
            <w:r/>
            <w:r>
              <w:rPr>
                <w:rFonts w:ascii="Calibri" w:hAnsi="Calibri"/>
                <w:b w:val="0"/>
                <w:sz w:val="18"/>
              </w:rPr>
              <w:t>PL-002</w:t>
            </w:r>
          </w:p>
        </w:tc>
        <w:tc>
          <w:tcPr>
            <w:tcW w:type="dxa" w:w="2160"/>
            <w:shd w:fill="FFFFFF" w:val="clear"/>
          </w:tcPr>
          <w:p>
            <w:r/>
            <w:r>
              <w:rPr>
                <w:rFonts w:ascii="Calibri" w:hAnsi="Calibri"/>
                <w:b w:val="0"/>
                <w:sz w:val="18"/>
              </w:rPr>
              <w:t>Gender-Coded Language</w:t>
            </w:r>
          </w:p>
        </w:tc>
        <w:tc>
          <w:tcPr>
            <w:tcW w:type="dxa" w:w="2160"/>
            <w:shd w:fill="FFFFFF" w:val="clear"/>
          </w:tcPr>
          <w:p>
            <w:r/>
            <w:r>
              <w:rPr>
                <w:rFonts w:ascii="Calibri" w:hAnsi="Calibri"/>
                <w:b/>
                <w:color w:val="E67E22"/>
                <w:sz w:val="18"/>
              </w:rPr>
              <w:t>HIGH</w:t>
            </w:r>
          </w:p>
        </w:tc>
        <w:tc>
          <w:tcPr>
            <w:tcW w:type="dxa" w:w="2160"/>
            <w:shd w:fill="FFFFFF" w:val="clear"/>
          </w:tcPr>
          <w:p>
            <w:r/>
            <w:r>
              <w:rPr>
                <w:rFonts w:ascii="Calibri" w:hAnsi="Calibri"/>
                <w:b w:val="0"/>
                <w:color w:val="646464"/>
                <w:sz w:val="18"/>
              </w:rPr>
              <w:t>Prohibited Language</w:t>
            </w:r>
          </w:p>
        </w:tc>
      </w:tr>
      <w:tr>
        <w:tc>
          <w:tcPr>
            <w:tcW w:type="dxa" w:w="2160"/>
            <w:shd w:fill="F7F9FA" w:val="clear"/>
          </w:tcPr>
          <w:p>
            <w:r/>
            <w:r>
              <w:rPr>
                <w:rFonts w:ascii="Calibri" w:hAnsi="Calibri"/>
                <w:b w:val="0"/>
                <w:sz w:val="18"/>
              </w:rPr>
              <w:t>PL-003</w:t>
            </w:r>
          </w:p>
        </w:tc>
        <w:tc>
          <w:tcPr>
            <w:tcW w:type="dxa" w:w="2160"/>
            <w:shd w:fill="F7F9FA" w:val="clear"/>
          </w:tcPr>
          <w:p>
            <w:r/>
            <w:r>
              <w:rPr>
                <w:rFonts w:ascii="Calibri" w:hAnsi="Calibri"/>
                <w:b w:val="0"/>
                <w:sz w:val="18"/>
              </w:rPr>
              <w:t>Citizenship / National Origin</w:t>
            </w:r>
          </w:p>
        </w:tc>
        <w:tc>
          <w:tcPr>
            <w:tcW w:type="dxa" w:w="2160"/>
            <w:shd w:fill="F7F9FA" w:val="clear"/>
          </w:tcPr>
          <w:p>
            <w:r/>
            <w:r>
              <w:rPr>
                <w:rFonts w:ascii="Calibri" w:hAnsi="Calibri"/>
                <w:b/>
                <w:color w:val="C0392B"/>
                <w:sz w:val="18"/>
              </w:rPr>
              <w:t>CRITICAL</w:t>
            </w:r>
          </w:p>
        </w:tc>
        <w:tc>
          <w:tcPr>
            <w:tcW w:type="dxa" w:w="2160"/>
            <w:shd w:fill="F7F9FA" w:val="clear"/>
          </w:tcPr>
          <w:p>
            <w:r/>
            <w:r>
              <w:rPr>
                <w:rFonts w:ascii="Calibri" w:hAnsi="Calibri"/>
                <w:b w:val="0"/>
                <w:color w:val="646464"/>
                <w:sz w:val="18"/>
              </w:rPr>
              <w:t>Prohibited Language</w:t>
            </w:r>
          </w:p>
        </w:tc>
      </w:tr>
      <w:tr>
        <w:tc>
          <w:tcPr>
            <w:tcW w:type="dxa" w:w="2160"/>
            <w:shd w:fill="FFFFFF" w:val="clear"/>
          </w:tcPr>
          <w:p>
            <w:r/>
            <w:r>
              <w:rPr>
                <w:rFonts w:ascii="Calibri" w:hAnsi="Calibri"/>
                <w:b w:val="0"/>
                <w:sz w:val="18"/>
              </w:rPr>
              <w:t>PL-004</w:t>
            </w:r>
          </w:p>
        </w:tc>
        <w:tc>
          <w:tcPr>
            <w:tcW w:type="dxa" w:w="2160"/>
            <w:shd w:fill="FFFFFF" w:val="clear"/>
          </w:tcPr>
          <w:p>
            <w:r/>
            <w:r>
              <w:rPr>
                <w:rFonts w:ascii="Calibri" w:hAnsi="Calibri"/>
                <w:b w:val="0"/>
                <w:sz w:val="18"/>
              </w:rPr>
              <w:t>Competitor Mentions</w:t>
            </w:r>
          </w:p>
        </w:tc>
        <w:tc>
          <w:tcPr>
            <w:tcW w:type="dxa" w:w="2160"/>
            <w:shd w:fill="FFFFFF" w:val="clear"/>
          </w:tcPr>
          <w:p>
            <w:r/>
            <w:r>
              <w:rPr>
                <w:rFonts w:ascii="Calibri" w:hAnsi="Calibri"/>
                <w:b/>
                <w:color w:val="F39C12"/>
                <w:sz w:val="18"/>
              </w:rPr>
              <w:t>MEDIUM</w:t>
            </w:r>
          </w:p>
        </w:tc>
        <w:tc>
          <w:tcPr>
            <w:tcW w:type="dxa" w:w="2160"/>
            <w:shd w:fill="FFFFFF" w:val="clear"/>
          </w:tcPr>
          <w:p>
            <w:r/>
            <w:r>
              <w:rPr>
                <w:rFonts w:ascii="Calibri" w:hAnsi="Calibri"/>
                <w:b w:val="0"/>
                <w:color w:val="646464"/>
                <w:sz w:val="18"/>
              </w:rPr>
              <w:t>Prohibited Language</w:t>
            </w:r>
          </w:p>
        </w:tc>
      </w:tr>
      <w:tr>
        <w:tc>
          <w:tcPr>
            <w:tcW w:type="dxa" w:w="2160"/>
            <w:shd w:fill="F7F9FA" w:val="clear"/>
          </w:tcPr>
          <w:p>
            <w:r/>
            <w:r>
              <w:rPr>
                <w:rFonts w:ascii="Calibri" w:hAnsi="Calibri"/>
                <w:b w:val="0"/>
                <w:sz w:val="18"/>
              </w:rPr>
              <w:t>PL-005</w:t>
            </w:r>
          </w:p>
        </w:tc>
        <w:tc>
          <w:tcPr>
            <w:tcW w:type="dxa" w:w="2160"/>
            <w:shd w:fill="F7F9FA" w:val="clear"/>
          </w:tcPr>
          <w:p>
            <w:r/>
            <w:r>
              <w:rPr>
                <w:rFonts w:ascii="Calibri" w:hAnsi="Calibri"/>
                <w:b w:val="0"/>
                <w:sz w:val="18"/>
              </w:rPr>
              <w:t>Salary Anchoring / Vague Compensation</w:t>
            </w:r>
          </w:p>
        </w:tc>
        <w:tc>
          <w:tcPr>
            <w:tcW w:type="dxa" w:w="2160"/>
            <w:shd w:fill="F7F9FA" w:val="clear"/>
          </w:tcPr>
          <w:p>
            <w:r/>
            <w:r>
              <w:rPr>
                <w:rFonts w:ascii="Calibri" w:hAnsi="Calibri"/>
                <w:b/>
                <w:color w:val="E67E22"/>
                <w:sz w:val="18"/>
              </w:rPr>
              <w:t>HIGH</w:t>
            </w:r>
          </w:p>
        </w:tc>
        <w:tc>
          <w:tcPr>
            <w:tcW w:type="dxa" w:w="2160"/>
            <w:shd w:fill="F7F9FA" w:val="clear"/>
          </w:tcPr>
          <w:p>
            <w:r/>
            <w:r>
              <w:rPr>
                <w:rFonts w:ascii="Calibri" w:hAnsi="Calibri"/>
                <w:b w:val="0"/>
                <w:color w:val="646464"/>
                <w:sz w:val="18"/>
              </w:rPr>
              <w:t>Prohibited Language</w:t>
            </w:r>
          </w:p>
        </w:tc>
      </w:tr>
      <w:tr>
        <w:tc>
          <w:tcPr>
            <w:tcW w:type="dxa" w:w="2160"/>
            <w:shd w:fill="FFFFFF" w:val="clear"/>
          </w:tcPr>
          <w:p>
            <w:r/>
            <w:r>
              <w:rPr>
                <w:rFonts w:ascii="Calibri" w:hAnsi="Calibri"/>
                <w:b w:val="0"/>
                <w:sz w:val="18"/>
              </w:rPr>
              <w:t>SS-001</w:t>
            </w:r>
          </w:p>
        </w:tc>
        <w:tc>
          <w:tcPr>
            <w:tcW w:type="dxa" w:w="2160"/>
            <w:shd w:fill="FFFFFF" w:val="clear"/>
          </w:tcPr>
          <w:p>
            <w:r/>
            <w:r>
              <w:rPr>
                <w:rFonts w:ascii="Calibri" w:hAnsi="Calibri"/>
                <w:b w:val="0"/>
                <w:sz w:val="18"/>
              </w:rPr>
              <w:t>Minimum Character Count</w:t>
            </w:r>
          </w:p>
        </w:tc>
        <w:tc>
          <w:tcPr>
            <w:tcW w:type="dxa" w:w="2160"/>
            <w:shd w:fill="FFFFFF" w:val="clear"/>
          </w:tcPr>
          <w:p>
            <w:r/>
            <w:r>
              <w:rPr>
                <w:rFonts w:ascii="Calibri" w:hAnsi="Calibri"/>
                <w:b/>
                <w:color w:val="F39C12"/>
                <w:sz w:val="18"/>
              </w:rPr>
              <w:t>MEDIUM</w:t>
            </w:r>
          </w:p>
        </w:tc>
        <w:tc>
          <w:tcPr>
            <w:tcW w:type="dxa" w:w="2160"/>
            <w:shd w:fill="FFFFFF" w:val="clear"/>
          </w:tcPr>
          <w:p>
            <w:r/>
            <w:r>
              <w:rPr>
                <w:rFonts w:ascii="Calibri" w:hAnsi="Calibri"/>
                <w:b w:val="0"/>
                <w:color w:val="646464"/>
                <w:sz w:val="18"/>
              </w:rPr>
              <w:t>Style &amp; Structure</w:t>
            </w:r>
          </w:p>
        </w:tc>
      </w:tr>
      <w:tr>
        <w:tc>
          <w:tcPr>
            <w:tcW w:type="dxa" w:w="2160"/>
            <w:shd w:fill="F7F9FA" w:val="clear"/>
          </w:tcPr>
          <w:p>
            <w:r/>
            <w:r>
              <w:rPr>
                <w:rFonts w:ascii="Calibri" w:hAnsi="Calibri"/>
                <w:b w:val="0"/>
                <w:sz w:val="18"/>
              </w:rPr>
              <w:t>SS-002</w:t>
            </w:r>
          </w:p>
        </w:tc>
        <w:tc>
          <w:tcPr>
            <w:tcW w:type="dxa" w:w="2160"/>
            <w:shd w:fill="F7F9FA" w:val="clear"/>
          </w:tcPr>
          <w:p>
            <w:r/>
            <w:r>
              <w:rPr>
                <w:rFonts w:ascii="Calibri" w:hAnsi="Calibri"/>
                <w:b w:val="0"/>
                <w:sz w:val="18"/>
              </w:rPr>
              <w:t>Maximum Character Count</w:t>
            </w:r>
          </w:p>
        </w:tc>
        <w:tc>
          <w:tcPr>
            <w:tcW w:type="dxa" w:w="2160"/>
            <w:shd w:fill="F7F9FA" w:val="clear"/>
          </w:tcPr>
          <w:p>
            <w:r/>
            <w:r>
              <w:rPr>
                <w:rFonts w:ascii="Calibri" w:hAnsi="Calibri"/>
                <w:b/>
                <w:color w:val="27AE60"/>
                <w:sz w:val="18"/>
              </w:rPr>
              <w:t>LOW</w:t>
            </w:r>
          </w:p>
        </w:tc>
        <w:tc>
          <w:tcPr>
            <w:tcW w:type="dxa" w:w="2160"/>
            <w:shd w:fill="F7F9FA" w:val="clear"/>
          </w:tcPr>
          <w:p>
            <w:r/>
            <w:r>
              <w:rPr>
                <w:rFonts w:ascii="Calibri" w:hAnsi="Calibri"/>
                <w:b w:val="0"/>
                <w:color w:val="646464"/>
                <w:sz w:val="18"/>
              </w:rPr>
              <w:t>Style &amp; Structure</w:t>
            </w:r>
          </w:p>
        </w:tc>
      </w:tr>
      <w:tr>
        <w:tc>
          <w:tcPr>
            <w:tcW w:type="dxa" w:w="2160"/>
            <w:shd w:fill="FFFFFF" w:val="clear"/>
          </w:tcPr>
          <w:p>
            <w:r/>
            <w:r>
              <w:rPr>
                <w:rFonts w:ascii="Calibri" w:hAnsi="Calibri"/>
                <w:b w:val="0"/>
                <w:sz w:val="18"/>
              </w:rPr>
              <w:t>SS-003</w:t>
            </w:r>
          </w:p>
        </w:tc>
        <w:tc>
          <w:tcPr>
            <w:tcW w:type="dxa" w:w="2160"/>
            <w:shd w:fill="FFFFFF" w:val="clear"/>
          </w:tcPr>
          <w:p>
            <w:r/>
            <w:r>
              <w:rPr>
                <w:rFonts w:ascii="Calibri" w:hAnsi="Calibri"/>
                <w:b w:val="0"/>
                <w:sz w:val="18"/>
              </w:rPr>
              <w:t>Responsibilities Section</w:t>
            </w:r>
          </w:p>
        </w:tc>
        <w:tc>
          <w:tcPr>
            <w:tcW w:type="dxa" w:w="2160"/>
            <w:shd w:fill="FFFFFF" w:val="clear"/>
          </w:tcPr>
          <w:p>
            <w:r/>
            <w:r>
              <w:rPr>
                <w:rFonts w:ascii="Calibri" w:hAnsi="Calibri"/>
                <w:b/>
                <w:color w:val="F39C12"/>
                <w:sz w:val="18"/>
              </w:rPr>
              <w:t>MEDIUM</w:t>
            </w:r>
          </w:p>
        </w:tc>
        <w:tc>
          <w:tcPr>
            <w:tcW w:type="dxa" w:w="2160"/>
            <w:shd w:fill="FFFFFF" w:val="clear"/>
          </w:tcPr>
          <w:p>
            <w:r/>
            <w:r>
              <w:rPr>
                <w:rFonts w:ascii="Calibri" w:hAnsi="Calibri"/>
                <w:b w:val="0"/>
                <w:color w:val="646464"/>
                <w:sz w:val="18"/>
              </w:rPr>
              <w:t>Style &amp; Structure</w:t>
            </w:r>
          </w:p>
        </w:tc>
      </w:tr>
      <w:tr>
        <w:tc>
          <w:tcPr>
            <w:tcW w:type="dxa" w:w="2160"/>
            <w:shd w:fill="F7F9FA" w:val="clear"/>
          </w:tcPr>
          <w:p>
            <w:r/>
            <w:r>
              <w:rPr>
                <w:rFonts w:ascii="Calibri" w:hAnsi="Calibri"/>
                <w:b w:val="0"/>
                <w:sz w:val="18"/>
              </w:rPr>
              <w:t>SS-004</w:t>
            </w:r>
          </w:p>
        </w:tc>
        <w:tc>
          <w:tcPr>
            <w:tcW w:type="dxa" w:w="2160"/>
            <w:shd w:fill="F7F9FA" w:val="clear"/>
          </w:tcPr>
          <w:p>
            <w:r/>
            <w:r>
              <w:rPr>
                <w:rFonts w:ascii="Calibri" w:hAnsi="Calibri"/>
                <w:b w:val="0"/>
                <w:sz w:val="18"/>
              </w:rPr>
              <w:t>Qualifications Section</w:t>
            </w:r>
          </w:p>
        </w:tc>
        <w:tc>
          <w:tcPr>
            <w:tcW w:type="dxa" w:w="2160"/>
            <w:shd w:fill="F7F9FA" w:val="clear"/>
          </w:tcPr>
          <w:p>
            <w:r/>
            <w:r>
              <w:rPr>
                <w:rFonts w:ascii="Calibri" w:hAnsi="Calibri"/>
                <w:b/>
                <w:color w:val="F39C12"/>
                <w:sz w:val="18"/>
              </w:rPr>
              <w:t>MEDIUM</w:t>
            </w:r>
          </w:p>
        </w:tc>
        <w:tc>
          <w:tcPr>
            <w:tcW w:type="dxa" w:w="2160"/>
            <w:shd w:fill="F7F9FA" w:val="clear"/>
          </w:tcPr>
          <w:p>
            <w:r/>
            <w:r>
              <w:rPr>
                <w:rFonts w:ascii="Calibri" w:hAnsi="Calibri"/>
                <w:b w:val="0"/>
                <w:color w:val="646464"/>
                <w:sz w:val="18"/>
              </w:rPr>
              <w:t>Style &amp; Structure</w:t>
            </w:r>
          </w:p>
        </w:tc>
      </w:tr>
      <w:tr>
        <w:tc>
          <w:tcPr>
            <w:tcW w:type="dxa" w:w="2160"/>
            <w:shd w:fill="FFFFFF" w:val="clear"/>
          </w:tcPr>
          <w:p>
            <w:r/>
            <w:r>
              <w:rPr>
                <w:rFonts w:ascii="Calibri" w:hAnsi="Calibri"/>
                <w:b w:val="0"/>
                <w:sz w:val="18"/>
              </w:rPr>
              <w:t>SS-005</w:t>
            </w:r>
          </w:p>
        </w:tc>
        <w:tc>
          <w:tcPr>
            <w:tcW w:type="dxa" w:w="2160"/>
            <w:shd w:fill="FFFFFF" w:val="clear"/>
          </w:tcPr>
          <w:p>
            <w:r/>
            <w:r>
              <w:rPr>
                <w:rFonts w:ascii="Calibri" w:hAnsi="Calibri"/>
                <w:b w:val="0"/>
                <w:sz w:val="18"/>
              </w:rPr>
              <w:t>Vertiv Company Boilerplate</w:t>
            </w:r>
          </w:p>
        </w:tc>
        <w:tc>
          <w:tcPr>
            <w:tcW w:type="dxa" w:w="2160"/>
            <w:shd w:fill="FFFFFF" w:val="clear"/>
          </w:tcPr>
          <w:p>
            <w:r/>
            <w:r>
              <w:rPr>
                <w:rFonts w:ascii="Calibri" w:hAnsi="Calibri"/>
                <w:b/>
                <w:color w:val="27AE60"/>
                <w:sz w:val="18"/>
              </w:rPr>
              <w:t>LOW</w:t>
            </w:r>
          </w:p>
        </w:tc>
        <w:tc>
          <w:tcPr>
            <w:tcW w:type="dxa" w:w="2160"/>
            <w:shd w:fill="FFFFFF" w:val="clear"/>
          </w:tcPr>
          <w:p>
            <w:r/>
            <w:r>
              <w:rPr>
                <w:rFonts w:ascii="Calibri" w:hAnsi="Calibri"/>
                <w:b w:val="0"/>
                <w:color w:val="646464"/>
                <w:sz w:val="18"/>
              </w:rPr>
              <w:t>Style &amp; Structure</w:t>
            </w:r>
          </w:p>
        </w:tc>
      </w:tr>
      <w:tr>
        <w:tc>
          <w:tcPr>
            <w:tcW w:type="dxa" w:w="2160"/>
            <w:shd w:fill="F7F9FA" w:val="clear"/>
          </w:tcPr>
          <w:p>
            <w:r/>
            <w:r>
              <w:rPr>
                <w:rFonts w:ascii="Calibri" w:hAnsi="Calibri"/>
                <w:b w:val="0"/>
                <w:sz w:val="18"/>
              </w:rPr>
              <w:t>EC-001</w:t>
            </w:r>
          </w:p>
        </w:tc>
        <w:tc>
          <w:tcPr>
            <w:tcW w:type="dxa" w:w="2160"/>
            <w:shd w:fill="F7F9FA" w:val="clear"/>
          </w:tcPr>
          <w:p>
            <w:r/>
            <w:r>
              <w:rPr>
                <w:rFonts w:ascii="Calibri" w:hAnsi="Calibri"/>
                <w:b w:val="0"/>
                <w:sz w:val="18"/>
              </w:rPr>
              <w:t>ITAR Notice for Regulated Roles</w:t>
            </w:r>
          </w:p>
        </w:tc>
        <w:tc>
          <w:tcPr>
            <w:tcW w:type="dxa" w:w="2160"/>
            <w:shd w:fill="F7F9FA" w:val="clear"/>
          </w:tcPr>
          <w:p>
            <w:r/>
            <w:r>
              <w:rPr>
                <w:rFonts w:ascii="Calibri" w:hAnsi="Calibri"/>
                <w:b/>
                <w:color w:val="E67E22"/>
                <w:sz w:val="18"/>
              </w:rPr>
              <w:t>HIGH</w:t>
            </w:r>
          </w:p>
        </w:tc>
        <w:tc>
          <w:tcPr>
            <w:tcW w:type="dxa" w:w="2160"/>
            <w:shd w:fill="F7F9FA" w:val="clear"/>
          </w:tcPr>
          <w:p>
            <w:r/>
            <w:r>
              <w:rPr>
                <w:rFonts w:ascii="Calibri" w:hAnsi="Calibri"/>
                <w:b w:val="0"/>
                <w:color w:val="646464"/>
                <w:sz w:val="18"/>
              </w:rPr>
              <w:t>Export Control</w:t>
            </w:r>
          </w:p>
        </w:tc>
      </w:tr>
    </w:tbl>
    <w:p/>
    <w:p>
      <w:r>
        <w:rPr>
          <w:b/>
          <w:sz w:val="24"/>
        </w:rPr>
        <w:t>PAY TRANSPARENCY STATES — UPDATED JUNE 2026 (V14)</w:t>
      </w:r>
    </w:p>
    <w:p>
      <w:r>
        <w:t>The following states/localities require pay transparency language in the job description. Updated per Pay Transparency Language V14, effective immediately.</w:t>
      </w:r>
    </w:p>
    <w:tbl>
      <w:tblPr>
        <w:tblW w:type="auto" w:w="0"/>
        <w:jc w:val="center"/>
        <w:tblLook w:firstColumn="1" w:firstRow="1" w:lastColumn="0" w:lastRow="0" w:noHBand="0" w:noVBand="1" w:val="04A0"/>
      </w:tblPr>
      <w:tblGrid>
        <w:gridCol w:w="4320"/>
        <w:gridCol w:w="4320"/>
      </w:tblGrid>
      <w:tr>
        <w:tc>
          <w:tcPr>
            <w:tcW w:type="dxa" w:w="4320"/>
            <w:shd w:fill="2C3E50" w:val="clear"/>
          </w:tcPr>
          <w:p>
            <w:r/>
            <w:r>
              <w:rPr>
                <w:rFonts w:ascii="Calibri" w:hAnsi="Calibri"/>
                <w:b/>
                <w:color w:val="FFFFFF"/>
                <w:sz w:val="18"/>
              </w:rPr>
              <w:t>Requirement</w:t>
            </w:r>
          </w:p>
        </w:tc>
        <w:tc>
          <w:tcPr>
            <w:tcW w:type="dxa" w:w="4320"/>
            <w:shd w:fill="2C3E50" w:val="clear"/>
          </w:tcPr>
          <w:p>
            <w:r/>
            <w:r>
              <w:rPr>
                <w:rFonts w:ascii="Calibri" w:hAnsi="Calibri"/>
                <w:b/>
                <w:color w:val="FFFFFF"/>
                <w:sz w:val="18"/>
              </w:rPr>
              <w:t>States / Localities</w:t>
            </w:r>
          </w:p>
        </w:tc>
      </w:tr>
      <w:tr>
        <w:tc>
          <w:tcPr>
            <w:tcW w:type="dxa" w:w="4320"/>
            <w:shd w:fill="E8F5E9" w:val="clear"/>
          </w:tcPr>
          <w:p>
            <w:r/>
            <w:r>
              <w:rPr>
                <w:rFonts w:ascii="Calibri" w:hAnsi="Calibri"/>
                <w:b/>
                <w:sz w:val="18"/>
              </w:rPr>
              <w:t>Pay range required IN the JD</w:t>
            </w:r>
          </w:p>
        </w:tc>
        <w:tc>
          <w:tcPr>
            <w:tcW w:type="dxa" w:w="4320"/>
            <w:shd w:fill="E8F5E9" w:val="clear"/>
          </w:tcPr>
          <w:p>
            <w:r/>
            <w:r>
              <w:rPr>
                <w:rFonts w:ascii="Calibri" w:hAnsi="Calibri"/>
                <w:b w:val="0"/>
                <w:sz w:val="18"/>
              </w:rPr>
              <w:t>CA, CO, CT, DC, HI, IL, MA, MD, ME, MN, NJ, NY, NYC, OH (Cleveland), VA, VT, WA</w:t>
            </w:r>
          </w:p>
        </w:tc>
      </w:tr>
      <w:tr>
        <w:tc>
          <w:tcPr>
            <w:tcW w:type="dxa" w:w="4320"/>
            <w:shd w:fill="FFF9C4" w:val="clear"/>
          </w:tcPr>
          <w:p>
            <w:r/>
            <w:r>
              <w:rPr>
                <w:rFonts w:ascii="Calibri" w:hAnsi="Calibri"/>
                <w:b/>
                <w:sz w:val="18"/>
              </w:rPr>
              <w:t>Pay range required at INTERVIEW only</w:t>
            </w:r>
          </w:p>
        </w:tc>
        <w:tc>
          <w:tcPr>
            <w:tcW w:type="dxa" w:w="4320"/>
            <w:shd w:fill="FFF9C4" w:val="clear"/>
          </w:tcPr>
          <w:p>
            <w:r/>
            <w:r>
              <w:rPr>
                <w:rFonts w:ascii="Calibri" w:hAnsi="Calibri"/>
                <w:b w:val="0"/>
                <w:sz w:val="18"/>
              </w:rPr>
              <w:t>NV, RI</w:t>
            </w:r>
          </w:p>
        </w:tc>
      </w:tr>
      <w:tr>
        <w:tc>
          <w:tcPr>
            <w:tcW w:type="dxa" w:w="4320"/>
            <w:shd w:fill="FCE4EC" w:val="clear"/>
          </w:tcPr>
          <w:p>
            <w:r/>
            <w:r>
              <w:rPr>
                <w:rFonts w:ascii="Calibri" w:hAnsi="Calibri"/>
                <w:b/>
                <w:sz w:val="18"/>
              </w:rPr>
              <w:t>Additional: CO application deadline</w:t>
            </w:r>
          </w:p>
        </w:tc>
        <w:tc>
          <w:tcPr>
            <w:tcW w:type="dxa" w:w="4320"/>
            <w:shd w:fill="FCE4EC" w:val="clear"/>
          </w:tcPr>
          <w:p>
            <w:r/>
            <w:r>
              <w:rPr>
                <w:rFonts w:ascii="Calibri" w:hAnsi="Calibri"/>
                <w:b w:val="0"/>
                <w:sz w:val="18"/>
              </w:rPr>
              <w:t>CO postings must include an application deadline date or state "accepts applications on an ongoing basis."</w:t>
            </w:r>
          </w:p>
        </w:tc>
      </w:tr>
    </w:tbl>
    <w:p/>
    <w:p>
      <w:r>
        <w:rPr>
          <w:b/>
          <w:sz w:val="24"/>
        </w:rPr>
        <w:t>SEVERITY LEVELS &amp; PUBLISH GATES</w:t>
      </w:r>
    </w:p>
    <w:tbl>
      <w:tblPr>
        <w:tblW w:type="auto" w:w="0"/>
        <w:jc w:val="center"/>
        <w:tblLook w:firstColumn="1" w:firstRow="1" w:lastColumn="0" w:lastRow="0" w:noHBand="0" w:noVBand="1" w:val="04A0"/>
      </w:tblPr>
      <w:tblGrid>
        <w:gridCol w:w="4320"/>
        <w:gridCol w:w="4320"/>
      </w:tblGrid>
      <w:tr>
        <w:tc>
          <w:tcPr>
            <w:tcW w:type="dxa" w:w="4320"/>
            <w:shd w:fill="F7F9FA" w:val="clear"/>
          </w:tcPr>
          <w:p>
            <w:r/>
            <w:r>
              <w:rPr>
                <w:rFonts w:ascii="Calibri" w:hAnsi="Calibri"/>
                <w:b/>
                <w:color w:val="C0392B"/>
                <w:sz w:val="20"/>
              </w:rPr>
              <w:t>CRITICAL</w:t>
            </w:r>
          </w:p>
        </w:tc>
        <w:tc>
          <w:tcPr>
            <w:tcW w:type="dxa" w:w="4320"/>
            <w:shd w:fill="F7F9FA" w:val="clear"/>
          </w:tcPr>
          <w:p>
            <w:r/>
            <w:r>
              <w:rPr>
                <w:rFonts w:ascii="Calibri" w:hAnsi="Calibri"/>
                <w:b w:val="0"/>
                <w:sz w:val="18"/>
              </w:rPr>
              <w:t>Do not publish. Finding must be resolved before the posting goes live. Triggers BLOCKED status.</w:t>
            </w:r>
          </w:p>
        </w:tc>
      </w:tr>
      <w:tr>
        <w:tc>
          <w:tcPr>
            <w:tcW w:type="dxa" w:w="4320"/>
            <w:shd w:fill="F7F9FA" w:val="clear"/>
          </w:tcPr>
          <w:p>
            <w:r/>
            <w:r>
              <w:rPr>
                <w:rFonts w:ascii="Calibri" w:hAnsi="Calibri"/>
                <w:b/>
                <w:color w:val="E67E22"/>
                <w:sz w:val="20"/>
              </w:rPr>
              <w:t>HIGH</w:t>
            </w:r>
          </w:p>
        </w:tc>
        <w:tc>
          <w:tcPr>
            <w:tcW w:type="dxa" w:w="4320"/>
            <w:shd w:fill="F7F9FA" w:val="clear"/>
          </w:tcPr>
          <w:p>
            <w:r/>
            <w:r>
              <w:rPr>
                <w:rFonts w:ascii="Calibri" w:hAnsi="Calibri"/>
                <w:b w:val="0"/>
                <w:sz w:val="18"/>
              </w:rPr>
              <w:t>Human + Legal sign-off required. Triggers REVIEW REQUIRED status.</w:t>
            </w:r>
          </w:p>
        </w:tc>
      </w:tr>
      <w:tr>
        <w:tc>
          <w:tcPr>
            <w:tcW w:type="dxa" w:w="4320"/>
            <w:shd w:fill="F7F9FA" w:val="clear"/>
          </w:tcPr>
          <w:p>
            <w:r/>
            <w:r>
              <w:rPr>
                <w:rFonts w:ascii="Calibri" w:hAnsi="Calibri"/>
                <w:b/>
                <w:color w:val="F39C12"/>
                <w:sz w:val="20"/>
              </w:rPr>
              <w:t>MEDIUM</w:t>
            </w:r>
          </w:p>
        </w:tc>
        <w:tc>
          <w:tcPr>
            <w:tcW w:type="dxa" w:w="4320"/>
            <w:shd w:fill="F7F9FA" w:val="clear"/>
          </w:tcPr>
          <w:p>
            <w:r/>
            <w:r>
              <w:rPr>
                <w:rFonts w:ascii="Calibri" w:hAnsi="Calibri"/>
                <w:b w:val="0"/>
                <w:sz w:val="18"/>
              </w:rPr>
              <w:t>Publish after recruiter review. Advisory flag — judgment call. Triggers ADVISORY.</w:t>
            </w:r>
          </w:p>
        </w:tc>
      </w:tr>
      <w:tr>
        <w:tc>
          <w:tcPr>
            <w:tcW w:type="dxa" w:w="4320"/>
            <w:shd w:fill="F7F9FA" w:val="clear"/>
          </w:tcPr>
          <w:p>
            <w:r/>
            <w:r>
              <w:rPr>
                <w:rFonts w:ascii="Calibri" w:hAnsi="Calibri"/>
                <w:b/>
                <w:color w:val="27AE60"/>
                <w:sz w:val="20"/>
              </w:rPr>
              <w:t>LOW</w:t>
            </w:r>
          </w:p>
        </w:tc>
        <w:tc>
          <w:tcPr>
            <w:tcW w:type="dxa" w:w="4320"/>
            <w:shd w:fill="F7F9FA" w:val="clear"/>
          </w:tcPr>
          <w:p>
            <w:r/>
            <w:r>
              <w:rPr>
                <w:rFonts w:ascii="Calibri" w:hAnsi="Calibri"/>
                <w:b w:val="0"/>
                <w:sz w:val="18"/>
              </w:rPr>
              <w:t>Publish at discretion. Style or brand note only. Triggers INFO or APPROVED.</w:t>
            </w:r>
          </w:p>
        </w:tc>
      </w:tr>
    </w:tbl>
    <w:p/>
    <w:tbl>
      <w:tblPr>
        <w:tblW w:type="auto" w:w="0"/>
        <w:jc w:val="center"/>
        <w:tblLook w:firstColumn="1" w:firstRow="1" w:lastColumn="0" w:lastRow="0" w:noHBand="0" w:noVBand="1" w:val="04A0"/>
      </w:tblPr>
      <w:tblGrid>
        <w:gridCol w:w="2880"/>
        <w:gridCol w:w="2880"/>
        <w:gridCol w:w="2880"/>
      </w:tblGrid>
      <w:tr>
        <w:tc>
          <w:tcPr>
            <w:tcW w:type="dxa" w:w="2880"/>
            <w:shd w:fill="2C3E50" w:val="clear"/>
          </w:tcPr>
          <w:p>
            <w:r/>
            <w:r>
              <w:rPr>
                <w:rFonts w:ascii="Calibri" w:hAnsi="Calibri"/>
                <w:b/>
                <w:color w:val="FFFFFF"/>
                <w:sz w:val="18"/>
              </w:rPr>
              <w:t>Audit Status</w:t>
            </w:r>
          </w:p>
        </w:tc>
        <w:tc>
          <w:tcPr>
            <w:tcW w:type="dxa" w:w="2880"/>
            <w:shd w:fill="2C3E50" w:val="clear"/>
          </w:tcPr>
          <w:p>
            <w:r/>
            <w:r>
              <w:rPr>
                <w:rFonts w:ascii="Calibri" w:hAnsi="Calibri"/>
                <w:b/>
                <w:color w:val="FFFFFF"/>
                <w:sz w:val="18"/>
              </w:rPr>
              <w:t>Triggered When</w:t>
            </w:r>
          </w:p>
        </w:tc>
        <w:tc>
          <w:tcPr>
            <w:tcW w:type="dxa" w:w="2880"/>
            <w:shd w:fill="2C3E50" w:val="clear"/>
          </w:tcPr>
          <w:p>
            <w:r/>
            <w:r>
              <w:rPr>
                <w:rFonts w:ascii="Calibri" w:hAnsi="Calibri"/>
                <w:b/>
                <w:color w:val="FFFFFF"/>
                <w:sz w:val="18"/>
              </w:rPr>
              <w:t>Required Action</w:t>
            </w:r>
          </w:p>
        </w:tc>
      </w:tr>
      <w:tr>
        <w:tc>
          <w:tcPr>
            <w:tcW w:type="dxa" w:w="2880"/>
            <w:shd w:fill="FFFFFF" w:val="clear"/>
          </w:tcPr>
          <w:p>
            <w:r/>
            <w:r>
              <w:rPr>
                <w:rFonts w:ascii="Calibri" w:hAnsi="Calibri"/>
                <w:b/>
                <w:sz w:val="18"/>
              </w:rPr>
              <w:t>APPROVED</w:t>
            </w:r>
          </w:p>
        </w:tc>
        <w:tc>
          <w:tcPr>
            <w:tcW w:type="dxa" w:w="2880"/>
            <w:shd w:fill="FFFFFF" w:val="clear"/>
          </w:tcPr>
          <w:p>
            <w:r/>
            <w:r>
              <w:rPr>
                <w:rFonts w:ascii="Calibri" w:hAnsi="Calibri"/>
                <w:b w:val="0"/>
                <w:sz w:val="18"/>
              </w:rPr>
              <w:t>Zero findings</w:t>
            </w:r>
          </w:p>
        </w:tc>
        <w:tc>
          <w:tcPr>
            <w:tcW w:type="dxa" w:w="2880"/>
            <w:shd w:fill="FFFFFF" w:val="clear"/>
          </w:tcPr>
          <w:p>
            <w:r/>
            <w:r>
              <w:rPr>
                <w:rFonts w:ascii="Calibri" w:hAnsi="Calibri"/>
                <w:b w:val="0"/>
                <w:sz w:val="18"/>
              </w:rPr>
              <w:t>Publish immediately</w:t>
            </w:r>
          </w:p>
        </w:tc>
      </w:tr>
      <w:tr>
        <w:tc>
          <w:tcPr>
            <w:tcW w:type="dxa" w:w="2880"/>
            <w:shd w:fill="F7F9FA" w:val="clear"/>
          </w:tcPr>
          <w:p>
            <w:r/>
            <w:r>
              <w:rPr>
                <w:rFonts w:ascii="Calibri" w:hAnsi="Calibri"/>
                <w:b/>
                <w:sz w:val="18"/>
              </w:rPr>
              <w:t>INFO</w:t>
            </w:r>
          </w:p>
        </w:tc>
        <w:tc>
          <w:tcPr>
            <w:tcW w:type="dxa" w:w="2880"/>
            <w:shd w:fill="F7F9FA" w:val="clear"/>
          </w:tcPr>
          <w:p>
            <w:r/>
            <w:r>
              <w:rPr>
                <w:rFonts w:ascii="Calibri" w:hAnsi="Calibri"/>
                <w:b w:val="0"/>
                <w:sz w:val="18"/>
              </w:rPr>
              <w:t>LOW findings only</w:t>
            </w:r>
          </w:p>
        </w:tc>
        <w:tc>
          <w:tcPr>
            <w:tcW w:type="dxa" w:w="2880"/>
            <w:shd w:fill="F7F9FA" w:val="clear"/>
          </w:tcPr>
          <w:p>
            <w:r/>
            <w:r>
              <w:rPr>
                <w:rFonts w:ascii="Calibri" w:hAnsi="Calibri"/>
                <w:b w:val="0"/>
                <w:sz w:val="18"/>
              </w:rPr>
              <w:t>Publish; review at discretion</w:t>
            </w:r>
          </w:p>
        </w:tc>
      </w:tr>
      <w:tr>
        <w:tc>
          <w:tcPr>
            <w:tcW w:type="dxa" w:w="2880"/>
            <w:shd w:fill="FFFFFF" w:val="clear"/>
          </w:tcPr>
          <w:p>
            <w:r/>
            <w:r>
              <w:rPr>
                <w:rFonts w:ascii="Calibri" w:hAnsi="Calibri"/>
                <w:b/>
                <w:sz w:val="18"/>
              </w:rPr>
              <w:t>ADVISORY</w:t>
            </w:r>
          </w:p>
        </w:tc>
        <w:tc>
          <w:tcPr>
            <w:tcW w:type="dxa" w:w="2880"/>
            <w:shd w:fill="FFFFFF" w:val="clear"/>
          </w:tcPr>
          <w:p>
            <w:r/>
            <w:r>
              <w:rPr>
                <w:rFonts w:ascii="Calibri" w:hAnsi="Calibri"/>
                <w:b w:val="0"/>
                <w:sz w:val="18"/>
              </w:rPr>
              <w:t>MEDIUM findings present</w:t>
            </w:r>
          </w:p>
        </w:tc>
        <w:tc>
          <w:tcPr>
            <w:tcW w:type="dxa" w:w="2880"/>
            <w:shd w:fill="FFFFFF" w:val="clear"/>
          </w:tcPr>
          <w:p>
            <w:r/>
            <w:r>
              <w:rPr>
                <w:rFonts w:ascii="Calibri" w:hAnsi="Calibri"/>
                <w:b w:val="0"/>
                <w:sz w:val="18"/>
              </w:rPr>
              <w:t>Publish after recruiter review</w:t>
            </w:r>
          </w:p>
        </w:tc>
      </w:tr>
      <w:tr>
        <w:tc>
          <w:tcPr>
            <w:tcW w:type="dxa" w:w="2880"/>
            <w:shd w:fill="F7F9FA" w:val="clear"/>
          </w:tcPr>
          <w:p>
            <w:r/>
            <w:r>
              <w:rPr>
                <w:rFonts w:ascii="Calibri" w:hAnsi="Calibri"/>
                <w:b/>
                <w:sz w:val="18"/>
              </w:rPr>
              <w:t>REVIEW REQ.</w:t>
            </w:r>
          </w:p>
        </w:tc>
        <w:tc>
          <w:tcPr>
            <w:tcW w:type="dxa" w:w="2880"/>
            <w:shd w:fill="F7F9FA" w:val="clear"/>
          </w:tcPr>
          <w:p>
            <w:r/>
            <w:r>
              <w:rPr>
                <w:rFonts w:ascii="Calibri" w:hAnsi="Calibri"/>
                <w:b w:val="0"/>
                <w:sz w:val="18"/>
              </w:rPr>
              <w:t>HIGH findings present</w:t>
            </w:r>
          </w:p>
        </w:tc>
        <w:tc>
          <w:tcPr>
            <w:tcW w:type="dxa" w:w="2880"/>
            <w:shd w:fill="F7F9FA" w:val="clear"/>
          </w:tcPr>
          <w:p>
            <w:r/>
            <w:r>
              <w:rPr>
                <w:rFonts w:ascii="Calibri" w:hAnsi="Calibri"/>
                <w:b w:val="0"/>
                <w:sz w:val="18"/>
              </w:rPr>
              <w:t>HM + Legal sign-off required</w:t>
            </w:r>
          </w:p>
        </w:tc>
      </w:tr>
      <w:tr>
        <w:tc>
          <w:tcPr>
            <w:tcW w:type="dxa" w:w="2880"/>
            <w:shd w:fill="FFFFFF" w:val="clear"/>
          </w:tcPr>
          <w:p>
            <w:r/>
            <w:r>
              <w:rPr>
                <w:rFonts w:ascii="Calibri" w:hAnsi="Calibri"/>
                <w:b/>
                <w:sz w:val="18"/>
              </w:rPr>
              <w:t>BLOCKED</w:t>
            </w:r>
          </w:p>
        </w:tc>
        <w:tc>
          <w:tcPr>
            <w:tcW w:type="dxa" w:w="2880"/>
            <w:shd w:fill="FFFFFF" w:val="clear"/>
          </w:tcPr>
          <w:p>
            <w:r/>
            <w:r>
              <w:rPr>
                <w:rFonts w:ascii="Calibri" w:hAnsi="Calibri"/>
                <w:b w:val="0"/>
                <w:sz w:val="18"/>
              </w:rPr>
              <w:t>Any CRITICAL finding present</w:t>
            </w:r>
          </w:p>
        </w:tc>
        <w:tc>
          <w:tcPr>
            <w:tcW w:type="dxa" w:w="2880"/>
            <w:shd w:fill="FFFFFF" w:val="clear"/>
          </w:tcPr>
          <w:p>
            <w:r/>
            <w:r>
              <w:rPr>
                <w:rFonts w:ascii="Calibri" w:hAnsi="Calibri"/>
                <w:b w:val="0"/>
                <w:sz w:val="18"/>
              </w:rPr>
              <w:t>Do not publish — resolve first</w:t>
            </w:r>
          </w:p>
        </w:tc>
      </w:tr>
    </w:tbl>
    <w:p/>
    <w:p>
      <w:r>
        <w:rPr>
          <w:b/>
          <w:sz w:val="24"/>
        </w:rPr>
        <w:t>HOW TO ADD OR MODIFY A RULE</w:t>
      </w:r>
    </w:p>
    <w:p>
      <w:r>
        <w:t>All rules live in one file: aco-agent/data/rules/rules.json — no code changes required for most updates.</w:t>
      </w:r>
    </w:p>
    <w:tbl>
      <w:tblPr>
        <w:tblW w:type="auto" w:w="0"/>
        <w:jc w:val="center"/>
        <w:tblLook w:firstColumn="1" w:firstRow="1" w:lastColumn="0" w:lastRow="0" w:noHBand="0" w:noVBand="1" w:val="04A0"/>
      </w:tblPr>
      <w:tblGrid>
        <w:gridCol w:w="4320"/>
        <w:gridCol w:w="4320"/>
      </w:tblGrid>
      <w:tr>
        <w:tc>
          <w:tcPr>
            <w:tcW w:type="dxa" w:w="4320"/>
            <w:shd w:fill="F7F9FA" w:val="clear"/>
          </w:tcPr>
          <w:p>
            <w:r/>
            <w:r>
              <w:rPr>
                <w:rFonts w:ascii="Calibri" w:hAnsi="Calibri"/>
                <w:b w:val="0"/>
                <w:sz w:val="16"/>
              </w:rPr>
              <w:t>KEYWORD RULE — simplest</w:t>
              <w:br/>
              <w:t>{</w:t>
              <w:br/>
              <w:t xml:space="preserve">  "rule_id": "PL-006",</w:t>
              <w:br/>
              <w:t xml:space="preserve">  "name": "New Rule Name",</w:t>
              <w:br/>
              <w:t xml:space="preserve">  "severity": "CRITICAL",</w:t>
              <w:br/>
              <w:t xml:space="preserve">  "match_type": "keyword_list",</w:t>
              <w:br/>
              <w:t xml:space="preserve">  "keywords": ["term1", "term2"],</w:t>
              <w:br/>
              <w:t xml:space="preserve">  "failure_message": "...",</w:t>
              <w:br/>
              <w:t xml:space="preserve">  "legal_citation": "ADEA §4(a)"</w:t>
              <w:br/>
              <w:t>}</w:t>
            </w:r>
          </w:p>
        </w:tc>
        <w:tc>
          <w:tcPr>
            <w:tcW w:type="dxa" w:w="4320"/>
            <w:shd w:fill="F7F9FA" w:val="clear"/>
          </w:tcPr>
          <w:p>
            <w:r/>
            <w:r>
              <w:rPr>
                <w:rFonts w:ascii="Calibri" w:hAnsi="Calibri"/>
                <w:b w:val="0"/>
                <w:sz w:val="16"/>
              </w:rPr>
              <w:t>SEMANTIC RULE — for statement blocks</w:t>
              <w:br/>
              <w:t>{</w:t>
              <w:br/>
              <w:t xml:space="preserve">  "rule_id": "RD-008",</w:t>
              <w:br/>
              <w:t xml:space="preserve">  "name": "New Statement Block",</w:t>
              <w:br/>
              <w:t xml:space="preserve">  "severity": "CRITICAL",</w:t>
              <w:br/>
              <w:t xml:space="preserve">  "match_type": "semantic",</w:t>
              <w:br/>
              <w:t xml:space="preserve">  "canonical_text": "Vertiv is an EEO...",</w:t>
              <w:br/>
              <w:t xml:space="preserve">  "semantic_threshold": 0.82,</w:t>
              <w:br/>
              <w:t xml:space="preserve">  "legal_citation": "Title VII"</w:t>
              <w:br/>
              <w:t>}</w:t>
            </w:r>
          </w:p>
        </w:tc>
      </w:tr>
    </w:tbl>
    <w:p/>
    <w:tbl>
      <w:tblPr>
        <w:tblW w:type="auto" w:w="0"/>
        <w:jc w:val="center"/>
        <w:tblLook w:firstColumn="1" w:firstRow="1" w:lastColumn="0" w:lastRow="0" w:noHBand="0" w:noVBand="1" w:val="04A0"/>
      </w:tblPr>
      <w:tblGrid>
        <w:gridCol w:w="4320"/>
        <w:gridCol w:w="4320"/>
      </w:tblGrid>
      <w:tr>
        <w:tc>
          <w:tcPr>
            <w:tcW w:type="dxa" w:w="4320"/>
            <w:shd w:fill="E3F2FD" w:val="clear"/>
          </w:tcPr>
          <w:p>
            <w:r/>
            <w:r>
              <w:rPr>
                <w:rFonts w:ascii="Calibri" w:hAnsi="Calibri"/>
                <w:b/>
                <w:sz w:val="18"/>
              </w:rPr>
              <w:t>Step 1</w:t>
            </w:r>
          </w:p>
        </w:tc>
        <w:tc>
          <w:tcPr>
            <w:tcW w:type="dxa" w:w="4320"/>
          </w:tcPr>
          <w:p>
            <w:r/>
            <w:r>
              <w:rPr>
                <w:rFonts w:ascii="Calibri" w:hAnsi="Calibri"/>
                <w:b w:val="0"/>
                <w:sz w:val="18"/>
              </w:rPr>
              <w:t>Open rules.json and append a new object to the rules array. Use the next sequential rule_id in the appropriate category prefix (e.g., PL-006, RD-008).</w:t>
            </w:r>
          </w:p>
        </w:tc>
      </w:tr>
      <w:tr>
        <w:tc>
          <w:tcPr>
            <w:tcW w:type="dxa" w:w="4320"/>
            <w:shd w:fill="E3F2FD" w:val="clear"/>
          </w:tcPr>
          <w:p>
            <w:r/>
            <w:r>
              <w:rPr>
                <w:rFonts w:ascii="Calibri" w:hAnsi="Calibri"/>
                <w:b/>
                <w:sz w:val="18"/>
              </w:rPr>
              <w:t>Step 2</w:t>
            </w:r>
          </w:p>
        </w:tc>
        <w:tc>
          <w:tcPr>
            <w:tcW w:type="dxa" w:w="4320"/>
          </w:tcPr>
          <w:p>
            <w:r/>
            <w:r>
              <w:rPr>
                <w:rFonts w:ascii="Calibri" w:hAnsi="Calibri"/>
                <w:b w:val="0"/>
                <w:sz w:val="18"/>
              </w:rPr>
              <w:t>For keyword_list rules: add your terms to the keywords array. For semantic rules: paste the canonical text, then set a threshold between 0.70–0.85. Test against known-good JDs first.</w:t>
            </w:r>
          </w:p>
        </w:tc>
      </w:tr>
      <w:tr>
        <w:tc>
          <w:tcPr>
            <w:tcW w:type="dxa" w:w="4320"/>
            <w:shd w:fill="E3F2FD" w:val="clear"/>
          </w:tcPr>
          <w:p>
            <w:r/>
            <w:r>
              <w:rPr>
                <w:rFonts w:ascii="Calibri" w:hAnsi="Calibri"/>
                <w:b/>
                <w:sz w:val="18"/>
              </w:rPr>
              <w:t>Step 3</w:t>
            </w:r>
          </w:p>
        </w:tc>
        <w:tc>
          <w:tcPr>
            <w:tcW w:type="dxa" w:w="4320"/>
          </w:tcPr>
          <w:p>
            <w:r/>
            <w:r>
              <w:rPr>
                <w:rFonts w:ascii="Calibri" w:hAnsi="Calibri"/>
                <w:b w:val="0"/>
                <w:sz w:val="18"/>
              </w:rPr>
              <w:t>Run: pytest aco-agent/tests/ — existing tests validate the schema automatically. Add a test case if the rule has an edge case worth protecting.</w:t>
            </w:r>
          </w:p>
        </w:tc>
      </w:tr>
      <w:tr>
        <w:tc>
          <w:tcPr>
            <w:tcW w:type="dxa" w:w="4320"/>
            <w:shd w:fill="E3F2FD" w:val="clear"/>
          </w:tcPr>
          <w:p>
            <w:r/>
            <w:r>
              <w:rPr>
                <w:rFonts w:ascii="Calibri" w:hAnsi="Calibri"/>
                <w:b/>
                <w:sz w:val="18"/>
              </w:rPr>
              <w:t>Step 4</w:t>
            </w:r>
          </w:p>
        </w:tc>
        <w:tc>
          <w:tcPr>
            <w:tcW w:type="dxa" w:w="4320"/>
          </w:tcPr>
          <w:p>
            <w:r/>
            <w:r>
              <w:rPr>
                <w:rFonts w:ascii="Calibri" w:hAnsi="Calibri"/>
                <w:b w:val="0"/>
                <w:sz w:val="18"/>
              </w:rPr>
              <w:t>Push to master — GitHub Actions redeploys the Function App automatically. No restart required.</w:t>
            </w:r>
          </w:p>
        </w:tc>
      </w:tr>
    </w:tbl>
    <w:p/>
    <w:p>
      <w:r>
        <w:rPr>
          <w:b/>
          <w:sz w:val="24"/>
        </w:rPr>
        <w:t>WHERE THIS CAN GO — FUTURE CAPABILITIES</w:t>
      </w:r>
    </w:p>
    <w:tbl>
      <w:tblPr>
        <w:tblW w:type="auto" w:w="0"/>
        <w:jc w:val="center"/>
        <w:tblLook w:firstColumn="1" w:firstRow="1" w:lastColumn="0" w:lastRow="0" w:noHBand="0" w:noVBand="1" w:val="04A0"/>
      </w:tblPr>
      <w:tblGrid>
        <w:gridCol w:w="4320"/>
        <w:gridCol w:w="4320"/>
      </w:tblGrid>
      <w:tr>
        <w:tc>
          <w:tcPr>
            <w:tcW w:type="dxa" w:w="4320"/>
            <w:shd w:fill="FFFFFF" w:val="clear"/>
          </w:tcPr>
          <w:p>
            <w:r/>
            <w:r>
              <w:rPr>
                <w:rFonts w:ascii="Calibri" w:hAnsi="Calibri"/>
                <w:b/>
                <w:color w:val="27AE60"/>
                <w:sz w:val="20"/>
              </w:rPr>
              <w:t>01</w:t>
            </w:r>
          </w:p>
        </w:tc>
        <w:tc>
          <w:tcPr>
            <w:tcW w:type="dxa" w:w="4320"/>
            <w:shd w:fill="FFFFFF" w:val="clear"/>
          </w:tcPr>
          <w:p>
            <w:r/>
            <w:r>
              <w:rPr>
                <w:rFonts w:ascii="Calibri" w:hAnsi="Calibri"/>
                <w:b/>
                <w:sz w:val="20"/>
              </w:rPr>
              <w:t>Oracle Recruiting Cloud Auto-Audit</w:t>
              <w:br/>
            </w:r>
            <w:r>
              <w:rPr>
                <w:rFonts w:ascii="Calibri" w:hAnsi="Calibri"/>
                <w:color w:val="646464"/>
                <w:sz w:val="18"/>
              </w:rPr>
              <w:t>Live webhook already built. When a JD is submitted in ORC, ACO audits it in real time and writes the certificate back before it ever goes to a recruiter. Zero manual submission.</w:t>
            </w:r>
          </w:p>
        </w:tc>
      </w:tr>
      <w:tr>
        <w:tc>
          <w:tcPr>
            <w:tcW w:type="dxa" w:w="4320"/>
            <w:shd w:fill="F7F9FA" w:val="clear"/>
          </w:tcPr>
          <w:p>
            <w:r/>
            <w:r>
              <w:rPr>
                <w:rFonts w:ascii="Calibri" w:hAnsi="Calibri"/>
                <w:b/>
                <w:color w:val="27AE60"/>
                <w:sz w:val="20"/>
              </w:rPr>
              <w:t>02</w:t>
            </w:r>
          </w:p>
        </w:tc>
        <w:tc>
          <w:tcPr>
            <w:tcW w:type="dxa" w:w="4320"/>
            <w:shd w:fill="F7F9FA" w:val="clear"/>
          </w:tcPr>
          <w:p>
            <w:r/>
            <w:r>
              <w:rPr>
                <w:rFonts w:ascii="Calibri" w:hAnsi="Calibri"/>
                <w:b/>
                <w:sz w:val="20"/>
              </w:rPr>
              <w:t>Compliance Dashboard &amp; Trend Reporting</w:t>
              <w:br/>
            </w:r>
            <w:r>
              <w:rPr>
                <w:rFonts w:ascii="Calibri" w:hAnsi="Calibri"/>
                <w:color w:val="646464"/>
                <w:sz w:val="18"/>
              </w:rPr>
              <w:t>Track failure rate by rule, recruiter, department, or posting type over time. Surface the rules that get violated most to drive upstream process changes.</w:t>
            </w:r>
          </w:p>
        </w:tc>
      </w:tr>
      <w:tr>
        <w:tc>
          <w:tcPr>
            <w:tcW w:type="dxa" w:w="4320"/>
            <w:shd w:fill="FFFFFF" w:val="clear"/>
          </w:tcPr>
          <w:p>
            <w:r/>
            <w:r>
              <w:rPr>
                <w:rFonts w:ascii="Calibri" w:hAnsi="Calibri"/>
                <w:b/>
                <w:color w:val="27AE60"/>
                <w:sz w:val="20"/>
              </w:rPr>
              <w:t>03</w:t>
            </w:r>
          </w:p>
        </w:tc>
        <w:tc>
          <w:tcPr>
            <w:tcW w:type="dxa" w:w="4320"/>
            <w:shd w:fill="FFFFFF" w:val="clear"/>
          </w:tcPr>
          <w:p>
            <w:r/>
            <w:r>
              <w:rPr>
                <w:rFonts w:ascii="Calibri" w:hAnsi="Calibri"/>
                <w:b/>
                <w:sz w:val="20"/>
              </w:rPr>
              <w:t>Auto-Remediation Mode</w:t>
              <w:br/>
            </w:r>
            <w:r>
              <w:rPr>
                <w:rFonts w:ascii="Calibri" w:hAnsi="Calibri"/>
                <w:color w:val="646464"/>
                <w:sz w:val="18"/>
              </w:rPr>
              <w:t>One-click insert of approved boilerplate for CRITICAL missing blocks — EEO, ADA, sponsorship. Recruiter approves the insert. ACO never writes to ORC autonomously.</w:t>
            </w:r>
          </w:p>
        </w:tc>
      </w:tr>
      <w:tr>
        <w:tc>
          <w:tcPr>
            <w:tcW w:type="dxa" w:w="4320"/>
            <w:shd w:fill="F7F9FA" w:val="clear"/>
          </w:tcPr>
          <w:p>
            <w:r/>
            <w:r>
              <w:rPr>
                <w:rFonts w:ascii="Calibri" w:hAnsi="Calibri"/>
                <w:b/>
                <w:color w:val="27AE60"/>
                <w:sz w:val="20"/>
              </w:rPr>
              <w:t>04</w:t>
            </w:r>
          </w:p>
        </w:tc>
        <w:tc>
          <w:tcPr>
            <w:tcW w:type="dxa" w:w="4320"/>
            <w:shd w:fill="F7F9FA" w:val="clear"/>
          </w:tcPr>
          <w:p>
            <w:r/>
            <w:r>
              <w:rPr>
                <w:rFonts w:ascii="Calibri" w:hAnsi="Calibri"/>
                <w:b/>
                <w:sz w:val="20"/>
              </w:rPr>
              <w:t>Multi-State Pay Transparency Expansion</w:t>
              <w:br/>
            </w:r>
            <w:r>
              <w:rPr>
                <w:rFonts w:ascii="Calibri" w:hAnsi="Calibri"/>
                <w:color w:val="646464"/>
                <w:sz w:val="18"/>
              </w:rPr>
              <w:t>Now covering 17 states/localities (up from 8). Additional jurisdictions can be added via rules.json with no code changes as laws evolve.</w:t>
            </w:r>
          </w:p>
        </w:tc>
      </w:tr>
      <w:tr>
        <w:tc>
          <w:tcPr>
            <w:tcW w:type="dxa" w:w="4320"/>
            <w:shd w:fill="FFFFFF" w:val="clear"/>
          </w:tcPr>
          <w:p>
            <w:r/>
            <w:r>
              <w:rPr>
                <w:rFonts w:ascii="Calibri" w:hAnsi="Calibri"/>
                <w:b/>
                <w:color w:val="27AE60"/>
                <w:sz w:val="20"/>
              </w:rPr>
              <w:t>05</w:t>
            </w:r>
          </w:p>
        </w:tc>
        <w:tc>
          <w:tcPr>
            <w:tcW w:type="dxa" w:w="4320"/>
            <w:shd w:fill="FFFFFF" w:val="clear"/>
          </w:tcPr>
          <w:p>
            <w:r/>
            <w:r>
              <w:rPr>
                <w:rFonts w:ascii="Calibri" w:hAnsi="Calibri"/>
                <w:b/>
                <w:sz w:val="20"/>
              </w:rPr>
              <w:t>Semantic Rule Tuning by Job Family</w:t>
              <w:br/>
            </w:r>
            <w:r>
              <w:rPr>
                <w:rFonts w:ascii="Calibri" w:hAnsi="Calibri"/>
                <w:color w:val="646464"/>
                <w:sz w:val="18"/>
              </w:rPr>
              <w:t>Fine-tune thresholds per job family (engineering vs. operations vs. sales) so detection is calibrated to how each team actually writes JDs.</w:t>
            </w:r>
          </w:p>
        </w:tc>
      </w:tr>
      <w:tr>
        <w:tc>
          <w:tcPr>
            <w:tcW w:type="dxa" w:w="4320"/>
            <w:shd w:fill="F7F9FA" w:val="clear"/>
          </w:tcPr>
          <w:p>
            <w:r/>
            <w:r>
              <w:rPr>
                <w:rFonts w:ascii="Calibri" w:hAnsi="Calibri"/>
                <w:b/>
                <w:color w:val="27AE60"/>
                <w:sz w:val="20"/>
              </w:rPr>
              <w:t>06</w:t>
            </w:r>
          </w:p>
        </w:tc>
        <w:tc>
          <w:tcPr>
            <w:tcW w:type="dxa" w:w="4320"/>
            <w:shd w:fill="F7F9FA" w:val="clear"/>
          </w:tcPr>
          <w:p>
            <w:r/>
            <w:r>
              <w:rPr>
                <w:rFonts w:ascii="Calibri" w:hAnsi="Calibri"/>
                <w:b/>
                <w:sz w:val="20"/>
              </w:rPr>
              <w:t>Recruiter Notification &amp; Workflow Integration</w:t>
              <w:br/>
            </w:r>
            <w:r>
              <w:rPr>
                <w:rFonts w:ascii="Calibri" w:hAnsi="Calibri"/>
                <w:color w:val="646464"/>
                <w:sz w:val="18"/>
              </w:rPr>
              <w:t>Slack or Teams alert when a BLOCKED certificate is issued. Includes deep link to the finding and one-click remediation template.</w:t>
            </w:r>
          </w:p>
        </w:tc>
      </w:tr>
      <w:tr>
        <w:tc>
          <w:tcPr>
            <w:tcW w:type="dxa" w:w="4320"/>
            <w:shd w:fill="FFFFFF" w:val="clear"/>
          </w:tcPr>
          <w:p>
            <w:r/>
            <w:r>
              <w:rPr>
                <w:rFonts w:ascii="Calibri" w:hAnsi="Calibri"/>
                <w:b/>
                <w:color w:val="27AE60"/>
                <w:sz w:val="20"/>
              </w:rPr>
              <w:t>07</w:t>
            </w:r>
          </w:p>
        </w:tc>
        <w:tc>
          <w:tcPr>
            <w:tcW w:type="dxa" w:w="4320"/>
            <w:shd w:fill="FFFFFF" w:val="clear"/>
          </w:tcPr>
          <w:p>
            <w:r/>
            <w:r>
              <w:rPr>
                <w:rFonts w:ascii="Calibri" w:hAnsi="Calibri"/>
                <w:b/>
                <w:sz w:val="20"/>
              </w:rPr>
              <w:t>OFCCP Audit Package Export</w:t>
              <w:br/>
            </w:r>
            <w:r>
              <w:rPr>
                <w:rFonts w:ascii="Calibri" w:hAnsi="Calibri"/>
                <w:color w:val="646464"/>
                <w:sz w:val="18"/>
              </w:rPr>
              <w:t>Generate a single PDF per requisition with the original JD, audit certificate, recruiter sign-off, and publication timestamp. Retention-ready for the 7-year compliance window.</w:t>
            </w:r>
          </w:p>
        </w:tc>
      </w:tr>
    </w:tbl>
    <w:p/>
    <w:p>
      <w:pPr>
        <w:jc w:val="center"/>
      </w:pPr>
      <w:r>
        <w:rPr>
          <w:color w:val="969696"/>
          <w:sz w:val="16"/>
        </w:rPr>
        <w:t>ACO Agent  |  Internal Use Only  |  All publish decisions are human-owned  |  Vertiv Talent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