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22079467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42512" cy="105219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42512" cy="10521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081787109375" w:line="231.2326955795288" w:lineRule="auto"/>
        <w:ind w:left="1597.8520202636719" w:right="2078.22265625" w:firstLine="0"/>
        <w:jc w:val="center"/>
        <w:rPr>
          <w:rFonts w:ascii="Times New Roman" w:cs="Times New Roman" w:eastAsia="Times New Roman" w:hAnsi="Times New Roman"/>
          <w:b w:val="1"/>
          <w:bCs w:val="1"/>
          <w:i w:val="0"/>
          <w:iCs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84000015258789"/>
          <w:szCs w:val="39.84000015258789"/>
          <w:u w:val="none"/>
          <w:shd w:fill="auto" w:val="clear"/>
          <w:vertAlign w:val="baseline"/>
          <w:rtl w:val="0"/>
        </w:rPr>
        <w:t xml:space="preserve">Image Classification Challenge  Group ID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0209960937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Group Members: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Hansrandi Adithya Rathnayake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Olusegun Ekoh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06201171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Preetha Selvaraj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08740234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Srikavya Vasala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591968536377" w:lineRule="auto"/>
        <w:ind w:left="3.09112548828125" w:right="799.052734375" w:firstLine="961.9296264648438"/>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629912" cy="4724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29912" cy="4724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Justifications for CIFAR-10.1 v6 Project Choices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Disclaimer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78125" w:line="229.2566156387329" w:lineRule="auto"/>
        <w:ind w:left="0.44158935546875" w:right="207.63916015625" w:firstLine="6.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approaches in this justifications file, including augmentation techniques (e.g., ToGray), model  selection, fine-tuning strategies, and training configurations, were informed by suggestions from  research papers, Google searches, and online blogs. We do not claim ownership of these concepts,  which were adapted to classify images from the CIFAR-10.1 v6 dataset. Reported model accuracies  (e.g., ViT: 0.9825, EfficientNetV2-S: 0.9770, RepVGG-A2: 0.9750) may vary slightly across runs  due to randomization in stratified 5-fold cross-validation and MixUp’s random state. The models  used—RepVGG-A2 (BSD 3-Clause License, chenyaofo/pytorch-cifar-models), EfficientNetV2-S  (public license, PyTorch), and ViT-Base-Patch16-224 (Apache 2.0 License, Hugging Face)—are  sourced from public repositories, and we do not claim ownership or creation of them.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0400390625" w:line="225.99660873413086" w:lineRule="auto"/>
        <w:ind w:left="724.8576354980469" w:right="311.533203125" w:hanging="353.155212402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RepVGG-A2</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Sourced from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single"/>
          <w:shd w:fill="auto" w:val="clear"/>
          <w:vertAlign w:val="baseline"/>
          <w:rtl w:val="0"/>
        </w:rPr>
        <w:t xml:space="preserve">https://github.com/chenyaofo/pytorch-cifar-models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with a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BSD 3-Clause License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009765625" w:line="240" w:lineRule="auto"/>
        <w:ind w:left="371.702423095703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EfficientNetV2-S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Sourced from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PyTorch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30.34364700317383" w:lineRule="auto"/>
        <w:ind w:left="724.8576354980469" w:right="131.444091796875" w:hanging="353.155212402343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ViT-Base-Patch16-224</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Sourced from </w:t>
      </w:r>
      <w:r w:rsidDel="00000000" w:rsidR="00000000" w:rsidRPr="00000000">
        <w:rPr>
          <w:rFonts w:ascii="Times New Roman" w:cs="Times New Roman" w:eastAsia="Times New Roman" w:hAnsi="Times New Roman"/>
          <w:b w:val="1"/>
          <w:bCs w:val="1"/>
          <w:i w:val="0"/>
          <w:iCs w:val="0"/>
          <w:smallCaps w:val="0"/>
          <w:strike w:val="0"/>
          <w:color w:val="0000ff"/>
          <w:sz w:val="22.079999923706055"/>
          <w:szCs w:val="22.079999923706055"/>
          <w:u w:val="single"/>
          <w:shd w:fill="auto" w:val="clear"/>
          <w:vertAlign w:val="baseline"/>
          <w:rtl w:val="0"/>
        </w:rPr>
        <w:t xml:space="preserve">https://huggingface.co/nielsr/vit-base-patch16-224- in21k-finetuned-cifar10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with an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Apache 2.0 License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10107421875" w:line="240" w:lineRule="auto"/>
        <w:ind w:left="14.7935485839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Model Selection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30.3424596786499" w:lineRule="auto"/>
        <w:ind w:left="1.545562744140625" w:right="278.3660888671875" w:firstLine="2.870483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Rationale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 choice of RepVGG-A2, EfficientNetV2-S, and ViT-Base-Patch16-224 ensures  evaluation of transfer learning across diverse architectures and pre-training datasets, addressing the  research question: Do CIFAR-10 pre-trained models outperform others?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28.89362335205078" w:lineRule="auto"/>
        <w:ind w:left="727.7279663085938" w:right="95.4443359375" w:hanging="357.0239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RepVGG-A2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(26.8M parameters, CIFAR-10 pre-trained): Selected for its lightweight, VGG style design and domain-specific pre-training, ideal for 32x32 images and resource constrained environments (Colab’s Free-tier GPU usuage limit). It tests the hypothesis that  CIFAR-10 alignment enhances performance.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1650390625" w:line="230.3424596786499" w:lineRule="auto"/>
        <w:ind w:left="722.4287414550781" w:right="174.786376953125" w:hanging="351.72470092773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EfficientNetV2-S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(20M parameters, ImageNet-1K): Chosen for its compound scaling and  Fused-MBConv blocks, offering efficiency and high-resolution feature adaptation (384x384  to 32x32), challenging CIFAR-10 pre-training with broader ImageNet features.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0546875" w:line="230.3424596786499" w:lineRule="auto"/>
        <w:ind w:left="721.5455627441406" w:right="79.130859375" w:hanging="350.8415222167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ViT-Base-Patch16-224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(86M parameters, ImageNet-21K+CIFAR-10): Included for its  transformer-based self-attention, capturing global dependencies for class similarity (cat/dog),  with dual pre-training maximizing robustness.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30.34231662750244" w:lineRule="auto"/>
        <w:ind w:left="721.5455627441406" w:right="122.530517578125" w:firstLine="1.766357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ViT’s 0.9825 accuracy and Fold 1 resilience (0.9225) confirm transformer superiority,  while EfficientNetV2-S (0.9770) outperforms RepVGG-A2 (0.9750), highlighting  architecture’s role over parameter count.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1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Augmentation Techniques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30.34253120422363" w:lineRule="auto"/>
        <w:ind w:left="8.390350341796875" w:right="28.21533203125" w:hanging="3.974304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Rationale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Augmentations via Albumentations library address the small dataset and distribution shift,  enhancing generalization and domain-specific transformations.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2646484375" w:line="240" w:lineRule="auto"/>
        <w:ind w:left="370.7040405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Common Augmentations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441.5455627441406" w:right="1011.4410400390625" w:hanging="347.011108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Horizontal Flip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(p=0.5): Doubles effective dataset size, improving spatial  robustness.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25.9977388381958" w:lineRule="auto"/>
        <w:ind w:left="1447.7281188964844" w:right="0" w:hanging="353.19366455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Padding/Crop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(4-pixel): Ensures translational invariance for 32x32 images, reducing  overfitting.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154296875" w:line="230.34364700317383" w:lineRule="auto"/>
        <w:ind w:left="1446.8449401855469" w:right="353.7591552734375" w:hanging="352.3104858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Affine Transforms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(±10% translate, 0.9–1.2 scale, ±15° rotate, p=0.5): Promotes  geometric invariance, countering pose variations.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0546875" w:line="230.34253120422363" w:lineRule="auto"/>
        <w:ind w:left="1448.8319396972656" w:right="271.146240234375" w:hanging="354.297485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MixUp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(alpha=0.2, p=0.5): Generates synthetic samples, aggressively diversifying  features to mitigate small-data overfitting.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30.34253120422363" w:lineRule="auto"/>
        <w:ind w:left="1447.7281188964844" w:right="587.677001953125" w:hanging="353.19366455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CoarseDropout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Adaptive occlusion (e.g., 1–2 holes for RepVGG-A2, 8x8 for  others) fosters spatial invariance.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298828125" w:line="230.34253120422363" w:lineRule="auto"/>
        <w:ind w:left="1448.1697082519531" w:right="190.885009765625" w:hanging="353.6352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Normalization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Model-specific (CIFAR-10 for RepVGG-A2, ImageNet for others)  aligns inputs to pre-training, stabilizing training.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40" w:lineRule="auto"/>
        <w:ind w:left="370.7040405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Model-Specific Augmentations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448.8319396972656" w:right="218.665771484375" w:hanging="354.297485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ToGray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(p=0.1, RepVGG-A2): Emphasizes structural features, reducing color bias  for lightweight models.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28.89362335205078" w:lineRule="auto"/>
        <w:ind w:left="370.70404052734375" w:right="106.58447265625" w:firstLine="723.8304138183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Dual Color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(ColorJitter, RandomBrightnessContrast, EfficientNetV2-S/ViT):  Bridges ImageNet’s high-res color space to 32x32, enhancing domain adaptation.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TTA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(Horizontal Flip): Lightweight inference ensemble boosts small test set accuracy (~400  images/fold) by ~1–2%.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4423828125" w:line="230.3424596786499" w:lineRule="auto"/>
        <w:ind w:left="719.7792053222656" w:right="525.4217529296875" w:firstLine="3.53271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MixUp and TTA reduce Fold 1 gap (6–9%), supporting ViT’s 0.9825 and cat/dog  precision (0.8649/0.9048).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06201171875" w:line="240" w:lineRule="auto"/>
        <w:ind w:left="3.75366210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Fine-Tuning Approach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30.3424596786499" w:lineRule="auto"/>
        <w:ind w:left="0" w:right="617.4267578125" w:firstLine="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Rationale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Staged fine-tuning preserves pre-trained features while adapting to CIFAR-10.1 v6,  balancing stability and domain-specific learning.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08154296875" w:line="230.3424596786499" w:lineRule="auto"/>
        <w:ind w:left="722.4287414550781" w:right="34.073486328125" w:hanging="351.72470092773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Staged Layer Unfreezing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Freezing early layers (6 epochs) retains low-level features (edges,  textures), preventing catastrophic forgetting.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28.16949844360352" w:lineRule="auto"/>
        <w:ind w:left="727.7279663085938" w:right="820.936279296875" w:hanging="357.02392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Low Learning Rate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(lr=2e-5): Unfrozen mid-level layers (patterns, object parts) are  cautiously refined, ensuring cross-architecture robustness, especially for ViT’s large  embeddings.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370.70404052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Sequential Classifier Regularization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78454589844" w:lineRule="auto"/>
        <w:ind w:left="1441.5455627441406" w:right="196.15234375" w:hanging="347.01110839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RepVGG-A2/EfficientNetV2-S</w:t>
      </w:r>
      <w:r w:rsidDel="00000000" w:rsidR="00000000" w:rsidRPr="00000000">
        <w:rPr>
          <w:rFonts w:ascii="Cardo" w:cs="Cardo" w:eastAsia="Cardo" w:hAnsi="Cardo"/>
          <w:b w:val="0"/>
          <w:bCs w:val="0"/>
          <w:i w:val="0"/>
          <w:iCs w:val="0"/>
          <w:smallCaps w:val="0"/>
          <w:strike w:val="0"/>
          <w:color w:val="000000"/>
          <w:sz w:val="22.079999923706055"/>
          <w:szCs w:val="22.079999923706055"/>
          <w:u w:val="none"/>
          <w:shd w:fill="auto" w:val="clear"/>
          <w:vertAlign w:val="baseline"/>
          <w:rtl w:val="0"/>
        </w:rPr>
        <w:t xml:space="preserve">: Sequential (Dropout p=0.3 → Linear) regularizes  high-dimensional features with RepVGG-A2’s class weights (1.2 cat/dog) targeting  class similarity.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1094.534454345703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ViT</w:t>
      </w:r>
      <w:r w:rsidDel="00000000" w:rsidR="00000000" w:rsidRPr="00000000">
        <w:rPr>
          <w:rFonts w:ascii="Cardo" w:cs="Cardo" w:eastAsia="Cardo" w:hAnsi="Cardo"/>
          <w:b w:val="0"/>
          <w:bCs w:val="0"/>
          <w:i w:val="0"/>
          <w:iCs w:val="0"/>
          <w:smallCaps w:val="0"/>
          <w:strike w:val="0"/>
          <w:color w:val="000000"/>
          <w:sz w:val="22.079999923706055"/>
          <w:szCs w:val="22.079999923706055"/>
          <w:u w:val="none"/>
          <w:shd w:fill="auto" w:val="clear"/>
          <w:vertAlign w:val="baseline"/>
          <w:rtl w:val="0"/>
        </w:rPr>
        <w:t xml:space="preserve">: Linear head (768 → 10) with transformers maximizes pre-trained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44940185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generalization.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30.34277439117432" w:lineRule="auto"/>
        <w:ind w:left="720" w:right="250.196533203125" w:firstLine="3.3119201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Staged unfreezing and low lr drive ViT’s Fold 1 resilience (0.9225), while classifiers  boost cat/dog precision (e.g., ViT: 0.8649/0.9048).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08142089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Training Configurations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30.34253120422363" w:lineRule="auto"/>
        <w:ind w:left="6.84478759765625" w:right="909.79248046875" w:hanging="2.428741455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Rationale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Configurations ensure robust convergence and generalization on a small dataset,  leveraging regularized optimization and rigorous validation.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2646484375" w:line="230.34310340881348" w:lineRule="auto"/>
        <w:ind w:left="2.428741455078125" w:right="379.0380859375" w:firstLine="2.428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Hyperparameter Tuning Limitations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Automated hyperparameter tuning was constrained by  computational resources (Google Colab’s GPU Free tier usage) and dataset size, optimized within  these limits to maximize performance (manual tuning).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23046875" w:line="228.89426708221436" w:lineRule="auto"/>
        <w:ind w:left="370.70404052734375" w:right="54.332275390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Optimizer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(AdamW, weight_decay=5e-2): Decouples weight decay from adaptive gradients,  providing strong L2 regularization to prevent overfitting on ~1600 images/fold.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Scheduler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(CosineAnnealingLR): Gradually reduces learning rate, promoting fine-grained  feature refinement and adapting to distribution shift.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359375" w:line="228.1701135635376" w:lineRule="auto"/>
        <w:ind w:left="728.3903503417969" w:right="251.961669921875" w:hanging="357.68630981445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Epochs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Epochs (50 for RepVGG-A2/EfficientNetV2-S, 20 for ViT, 5-fold CV): Extended  epochs ensure convergence across architectures, while 5-fold CV validates robustness on  small data, reducing variability.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30.34253120422363" w:lineRule="auto"/>
        <w:ind w:left="370.70404052734375" w:right="144.3823242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Loss Function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(CrossEntropyLoss, label_smoothing=0.1): Label smoothing softens one-hot  labels, enhancing generalization. RepVGG-A2’s class weights address class similarity.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2451171875" w:line="240" w:lineRule="auto"/>
        <w:ind w:left="4.636840820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Model-Specific Summary Table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1962890625" w:line="231.90743923187256" w:lineRule="auto"/>
        <w:ind w:left="2.620849609375" w:right="121.374511718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fine-tuning approach varies slightly across models, reflecting their architectures and pre training:</w:t>
      </w:r>
    </w:p>
    <w:tbl>
      <w:tblPr>
        <w:tblStyle w:val="Table1"/>
        <w:tblW w:w="9014.3994140625" w:type="dxa"/>
        <w:jc w:val="left"/>
        <w:tblInd w:w="0.220794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8.3999633789062"/>
        <w:gridCol w:w="2198.3999633789062"/>
        <w:gridCol w:w="3254.4000244140625"/>
        <w:gridCol w:w="1963.199462890625"/>
        <w:tblGridChange w:id="0">
          <w:tblGrid>
            <w:gridCol w:w="1598.3999633789062"/>
            <w:gridCol w:w="2198.3999633789062"/>
            <w:gridCol w:w="3254.4000244140625"/>
            <w:gridCol w:w="1963.199462890625"/>
          </w:tblGrid>
        </w:tblGridChange>
      </w:tblGrid>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RepVGG-A2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EfficientNetV2-S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33512115479" w:lineRule="auto"/>
              <w:ind w:left="148.5882568359375" w:right="144.969482421875" w:firstLine="0"/>
              <w:jc w:val="center"/>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ViT-Base-Patch16- 224</w:t>
            </w:r>
          </w:p>
        </w:tc>
      </w:tr>
      <w:tr>
        <w:trPr>
          <w:cantSplit w:val="0"/>
          <w:trHeight w:val="7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49926757812"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Pre-Training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212402343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CIFAR-10 (50,000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38525390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images, 32x32)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11.6668701171875" w:right="125.299072265625" w:firstLine="4.013061523437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ImageNet-1K (1.28M images, high 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ImageNet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52050781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21K+CIFAR-10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(14M+50K images)</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44384765625"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Input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32568359375"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580322265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32x32 (matches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212402343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CIFAR-10.1 v6)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58837890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384x384 (resized from 32x32)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18.636474609375" w:right="347.957763671875" w:hanging="3.8012695312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224x224 (resized  from 32x32)</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Frozen Layers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21.5350341796875" w:right="367.708740234375" w:hanging="1.9009399414062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Early convolutional  layers (6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18.214111328125" w:right="646.856689453125" w:hanging="3.3789062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Early convolutional layers (6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16.73583984375" w:right="312.5604248046875" w:hanging="1.90063476562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Early transformer  layers (6 epochs)</w:t>
            </w:r>
          </w:p>
        </w:tc>
      </w:tr>
      <w:tr>
        <w:trPr>
          <w:cantSplit w:val="0"/>
          <w:trHeight w:val="7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813598632812"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Unfrozen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32568359375"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33512115479" w:lineRule="auto"/>
              <w:ind w:left="123.8580322265625" w:right="64.54345703125" w:hanging="5.0686645507812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Mid-level convolutions  (lr=2e-5)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0478515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Mid-level convolutions (lr=2e-5)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0478515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Mid-level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19.058837890625" w:right="219.29443359375" w:hanging="6.547241210937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transformer blocks  (lr=2e-5)</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852905273438"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Classifier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33512115479" w:lineRule="auto"/>
              <w:ind w:left="119.42291259765625" w:right="59.693603515625" w:firstLine="9.0817260742187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1.119998931884766"/>
                <w:szCs w:val="21.119998931884766"/>
                <w:u w:val="none"/>
                <w:shd w:fill="auto" w:val="clear"/>
                <w:vertAlign w:val="baseline"/>
                <w:rtl w:val="0"/>
              </w:rPr>
              <w:t xml:space="preserve">Sequential (Dropout →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0544433593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1.119998931884766"/>
                <w:szCs w:val="21.119998931884766"/>
                <w:u w:val="none"/>
                <w:shd w:fill="auto" w:val="clear"/>
                <w:vertAlign w:val="baseline"/>
                <w:rtl w:val="0"/>
              </w:rPr>
              <w:t xml:space="preserve">Sequential (Dropout → Linear)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2402343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Linear layer,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48291015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standard weights</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852905273438"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Class Weights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09362792968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1.2 for cat/dog, 1.0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976074218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Standard (1.0, label smoothing 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20.748291015625" w:right="155.806884765625" w:firstLine="2.957153320312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Standard (1.0, label  smoothing 0.1)</w:t>
            </w:r>
          </w:p>
        </w:tc>
      </w:tr>
      <w:tr>
        <w:trPr>
          <w:cantSplit w:val="0"/>
          <w:trHeight w:val="1214.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Augmentations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503417968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ToGray (p=0.1),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19.63409423828125" w:right="360.408935546875" w:firstLine="3.1680297851562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CoarseDropout (10– 20%), ColorJitter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23.8580322265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(p=0.4), MixUp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580322265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0478515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Dual Color (ColorJitter,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5901641846" w:lineRule="auto"/>
              <w:ind w:left="118.0029296875" w:right="647.1527099609375" w:hanging="4.01245117187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RandomBrightnessContrast),  CoarseDropout (8x8), MixUp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0544433593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Same as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52050781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EfficientNetV2-S</w:t>
            </w:r>
          </w:p>
        </w:tc>
      </w:tr>
      <w:tr>
        <w:trPr>
          <w:cantSplit w:val="0"/>
          <w:trHeight w:val="7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Key Creativity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212402343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Class weights for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976074218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cat/dog, ToGray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38525390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90732574463" w:lineRule="auto"/>
              <w:ind w:left="112.5115966796875" w:right="105.513916015625" w:firstLine="1.478881835937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High-res adaptation with dual color  transforms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90732574463" w:lineRule="auto"/>
              <w:ind w:left="112.5115966796875" w:right="369.8248291015625" w:firstLine="4.2242431640625"/>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Transformer fine tuning with dual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085205078125" w:line="240" w:lineRule="auto"/>
              <w:ind w:left="117.5805664062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color and MixUp</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4695434570312"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Fold 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9010620117188"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212402343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0.8900 (gap: ~8.5%)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292968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0.8850 (gap: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292968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0.9225 (gap: ~6%)</w:t>
            </w:r>
          </w:p>
        </w:tc>
      </w:tr>
      <w:tr>
        <w:trPr>
          <w:cantSplit w:val="0"/>
          <w:trHeight w:val="494.39987182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8128662109375"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5-Fold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9010620117188" w:right="0" w:firstLine="0"/>
              <w:jc w:val="left"/>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19998931884766"/>
                <w:szCs w:val="21.119998931884766"/>
                <w:u w:val="none"/>
                <w:shd w:fill="auto"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212402343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0.9750 ± 0.0426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292968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0.9770 ± 0.0460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29296875" w:right="0" w:firstLine="0"/>
              <w:jc w:val="left"/>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19998931884766"/>
                <w:szCs w:val="21.119998931884766"/>
                <w:u w:val="none"/>
                <w:shd w:fill="auto" w:val="clear"/>
                <w:vertAlign w:val="baseline"/>
                <w:rtl w:val="0"/>
              </w:rPr>
              <w:t xml:space="preserve">0.9825 ± 0.0300</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Justification of models, paramters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Train and test split difference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metric justifications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Dl foundations for ann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seq?why conv?’</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80%&gt; accuracy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Prediction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Performance metrics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Decision on model choices and parameters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Random states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Understand smot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Padding , pooling layers cnn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40" w:w="11900" w:orient="portrait"/>
      <w:pgMar w:bottom="1671.99951171875" w:top="1324.7998046875" w:left="1439.7792053222656" w:right="1404.9475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