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1"/>
                <w:szCs w:val="21"/>
                <w:highlight w:val="white"/>
                <w:rtl w:val="0"/>
              </w:rPr>
              <w:t xml:space="preserve">SWTID-2026-2227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ServiceNow Incident Management Enhancement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.1111921712662"/>
        <w:gridCol w:w="2080.9619883776513"/>
        <w:gridCol w:w="6204.438630474706"/>
        <w:tblGridChange w:id="0">
          <w:tblGrid>
            <w:gridCol w:w="740.1111921712662"/>
            <w:gridCol w:w="2080.9619883776513"/>
            <w:gridCol w:w="6204.438630474706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(Problem to be solved)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management of employee data and lack of real-time visibility of user information during incident handling, leading to inefficiency and errors.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/ Solution 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Integrate external employee data into ServiceNow using Import Sets and Transform Maps, enable dynamic data retrieval using Dot Walking, and customize system behavior using Dictionary Override for better incident management.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Novelty / Uniqueness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Combines data integration, relational data access, and table-level customization within ServiceNow to eliminate manual effort and avoid data duplication.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Impact / Customer Satisfaction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Improves efficiency of IT support teams, reduces workload, enhances user experience, and ensures faster and more accurate incident resolution.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Model (Revenue Model)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be implemented as part of enterprise IT service management solutions to improve operational efficiency and reduce support costs.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of the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 on ServiceNow cloud platform, capable of handling large volumes of employee data and incidents with minimal performance impact.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+9mkyl9WwWBlLBUUfe2SbV3VA==">CgMxLjA4AHIhMUJ4YmNVY1Q2azFtVUsyOUpBSEdPVFVDdkNfdHNYdGkw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