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ServiceNow Incident Management Enhancement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19588" cy="6486416"/>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19588" cy="648641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C">
      <w:pPr>
        <w:pStyle w:val="Heading2"/>
        <w:keepNext w:val="0"/>
        <w:keepLines w:val="0"/>
        <w:rPr>
          <w:rFonts w:ascii="Arial" w:cs="Arial" w:eastAsia="Arial" w:hAnsi="Arial"/>
          <w:sz w:val="34"/>
          <w:szCs w:val="34"/>
        </w:rPr>
      </w:pPr>
      <w:bookmarkStart w:colFirst="0" w:colLast="0" w:name="_heading=h.eydnd0dv6imo" w:id="0"/>
      <w:bookmarkEnd w:id="0"/>
      <w:r w:rsidDel="00000000" w:rsidR="00000000" w:rsidRPr="00000000">
        <w:rPr>
          <w:rFonts w:ascii="Arial" w:cs="Arial" w:eastAsia="Arial" w:hAnsi="Arial"/>
          <w:sz w:val="34"/>
          <w:szCs w:val="34"/>
          <w:rtl w:val="0"/>
        </w:rPr>
        <w:t xml:space="preserve">IT Support Agent</w:t>
      </w:r>
    </w:p>
    <w:tbl>
      <w:tblPr>
        <w:tblStyle w:val="Table2"/>
        <w:tblW w:w="10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1790"/>
        <w:gridCol w:w="1220"/>
        <w:gridCol w:w="2165"/>
        <w:gridCol w:w="1790"/>
        <w:gridCol w:w="1040"/>
        <w:gridCol w:w="1010"/>
        <w:tblGridChange w:id="0">
          <w:tblGrid>
            <w:gridCol w:w="1100"/>
            <w:gridCol w:w="1790"/>
            <w:gridCol w:w="1220"/>
            <w:gridCol w:w="2165"/>
            <w:gridCol w:w="1790"/>
            <w:gridCol w:w="1040"/>
            <w:gridCol w:w="1010"/>
          </w:tblGrid>
        </w:tblGridChange>
      </w:tblGrid>
      <w:tr>
        <w:trPr>
          <w:cantSplit w:val="0"/>
          <w:trHeight w:val="1159.01794433593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Arial" w:cs="Arial" w:eastAsia="Arial" w:hAnsi="Arial"/>
              </w:rPr>
            </w:pPr>
            <w:r w:rsidDel="00000000" w:rsidR="00000000" w:rsidRPr="00000000">
              <w:rPr>
                <w:rFonts w:ascii="Arial" w:cs="Arial" w:eastAsia="Arial" w:hAnsi="Arial"/>
                <w:b w:val="1"/>
                <w:bCs w:val="1"/>
                <w:rtl w:val="0"/>
              </w:rPr>
              <w:t xml:space="preserve">User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Arial" w:cs="Arial" w:eastAsia="Arial" w:hAnsi="Arial"/>
              </w:rPr>
            </w:pPr>
            <w:r w:rsidDel="00000000" w:rsidR="00000000" w:rsidRPr="00000000">
              <w:rPr>
                <w:rFonts w:ascii="Arial" w:cs="Arial" w:eastAsia="Arial" w:hAnsi="Arial"/>
                <w:b w:val="1"/>
                <w:bCs w:val="1"/>
                <w:rtl w:val="0"/>
              </w:rPr>
              <w:t xml:space="preserve">Functional Requirement (Epic)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Arial" w:cs="Arial" w:eastAsia="Arial" w:hAnsi="Arial"/>
              </w:rPr>
            </w:pPr>
            <w:r w:rsidDel="00000000" w:rsidR="00000000" w:rsidRPr="00000000">
              <w:rPr>
                <w:rFonts w:ascii="Arial" w:cs="Arial" w:eastAsia="Arial" w:hAnsi="Arial"/>
                <w:b w:val="1"/>
                <w:bCs w:val="1"/>
                <w:rtl w:val="0"/>
              </w:rPr>
              <w:t xml:space="preserve">User Story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Arial" w:cs="Arial" w:eastAsia="Arial" w:hAnsi="Arial"/>
              </w:rPr>
            </w:pPr>
            <w:r w:rsidDel="00000000" w:rsidR="00000000" w:rsidRPr="00000000">
              <w:rPr>
                <w:rFonts w:ascii="Arial" w:cs="Arial" w:eastAsia="Arial" w:hAnsi="Arial"/>
                <w:b w:val="1"/>
                <w:bCs w:val="1"/>
                <w:rtl w:val="0"/>
              </w:rPr>
              <w:t xml:space="preserve">User Story /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Arial" w:cs="Arial" w:eastAsia="Arial" w:hAnsi="Arial"/>
              </w:rPr>
            </w:pPr>
            <w:r w:rsidDel="00000000" w:rsidR="00000000" w:rsidRPr="00000000">
              <w:rPr>
                <w:rFonts w:ascii="Arial" w:cs="Arial" w:eastAsia="Arial" w:hAnsi="Arial"/>
                <w:b w:val="1"/>
                <w:bCs w:val="1"/>
                <w:rtl w:val="0"/>
              </w:rPr>
              <w:t xml:space="preserve">Acceptance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Arial" w:cs="Arial" w:eastAsia="Arial" w:hAnsi="Arial"/>
              </w:rPr>
            </w:pPr>
            <w:r w:rsidDel="00000000" w:rsidR="00000000" w:rsidRPr="00000000">
              <w:rPr>
                <w:rFonts w:ascii="Arial" w:cs="Arial" w:eastAsia="Arial" w:hAnsi="Arial"/>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Arial" w:cs="Arial" w:eastAsia="Arial" w:hAnsi="Arial"/>
              </w:rPr>
            </w:pPr>
            <w:r w:rsidDel="00000000" w:rsidR="00000000" w:rsidRPr="00000000">
              <w:rPr>
                <w:rFonts w:ascii="Arial" w:cs="Arial" w:eastAsia="Arial" w:hAnsi="Arial"/>
                <w:b w:val="1"/>
                <w:bCs w:val="1"/>
                <w:rtl w:val="0"/>
              </w:rPr>
              <w:t xml:space="preserve">Release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IT Support Agent</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Incident Handling</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USN-1</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As an agent, I can select a user in Assigned To field</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User should appear in lookup and be selectable</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8" w:val="single"/>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Sprint-1</w:t>
            </w:r>
          </w:p>
        </w:tc>
      </w:tr>
      <w:tr>
        <w:trPr>
          <w:cantSplit w:val="0"/>
          <w:trHeight w:val="1325" w:hRule="atLeast"/>
          <w:tblHeader w:val="0"/>
        </w:trPr>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IT Support Agent</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Data Visibility</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USN-2</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As an agent, I can view department, email, and manager automatically</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Fields auto-populate when user is selected</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rtl w:val="0"/>
              </w:rPr>
              <w:t xml:space="preserve">Sprint-1</w:t>
            </w:r>
          </w:p>
        </w:tc>
      </w:tr>
      <w:tr>
        <w:trPr>
          <w:cantSplit w:val="0"/>
          <w:trHeight w:val="13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IT Support Agent</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Efficient Workflow</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USN-3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As an agent, I can access user data without opening multiple records</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No manual navigation required</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High</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Sprint-1</w:t>
            </w:r>
          </w:p>
        </w:tc>
      </w:tr>
    </w:tbl>
    <w:p w:rsidR="00000000" w:rsidDel="00000000" w:rsidP="00000000" w:rsidRDefault="00000000" w:rsidRPr="00000000" w14:paraId="00000039">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PbplK7P74nF/bL5FPCt270miw==">CgMxLjAyDmguZXlkbmQwZHY2aW1vOAByITFhdl9lNTVFYkxqTXdhY1Bncm9FQVdVdGpVQ29WcVZmMQ==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