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CIPHERGUARD: NEXT-GENERATION DEFENSIVE CYBERSECURITY &amp; AUTONOMOUS SOC WORKBENCH</w:t>
      </w:r>
    </w:p>
    <w:p>
      <w:pPr>
        <w:jc w:val="center"/>
      </w:pPr>
      <w:r>
        <w:rPr>
          <w:rFonts w:ascii="Arial" w:hAnsi="Arial"/>
          <w:b/>
          <w:color w:val="0E7490"/>
          <w:sz w:val="26"/>
        </w:rPr>
        <w:t>Hackathon Final Project Submission &amp; Academic Evaluation Dossier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Event Date &amp; Timings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Saturday, 19/09/2026 | 9:00 AM – 3:00 PM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Venue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CET 1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Project Title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CipherGuard: Next-Generation Defensive Cybersecurity &amp; Autonomous SOC Workbench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Repository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https://github.com/srikrishna-png/CipherGuard-SOC-Workbench-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Submission Type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Team-wise Official Hackathon Project Dossier (Hard &amp; Soft Copy)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1. OFFICIAL PROBLEM STATEMENT</w:t>
      </w:r>
    </w:p>
    <w:p>
      <w:pPr>
        <w:spacing w:before="0" w:after="160"/>
      </w:pPr>
      <w:r>
        <w:rPr>
          <w:color w:val="0E7490"/>
          <w:sz w:val="16"/>
        </w:rPr>
        <w:t>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Problem Title: </w:t>
      </w:r>
      <w:r>
        <w:rPr>
          <w:rFonts w:ascii="Arial" w:hAnsi="Arial"/>
          <w:color w:val="0F172A"/>
          <w:sz w:val="20"/>
        </w:rPr>
        <w:t>Addressing Alert Fatigue, Forensic Fragmentation, and Non-Standardized Incident Response in Enterprise Security Operations Centers (SOC) through a Mathematically Grounded Multi-Suite Analytical Workbench.</w:t>
      </w:r>
    </w:p>
    <w:p>
      <w:pPr>
        <w:spacing w:before="40" w:after="80" w:line="276" w:lineRule="auto"/>
      </w:pPr>
      <w:r>
        <w:rPr>
          <w:rFonts w:ascii="Arial" w:hAnsi="Arial"/>
          <w:color w:val="0F172A"/>
          <w:sz w:val="20"/>
        </w:rPr>
        <w:t>Modern enterprise Security Operations Centers face an unprecedented crisis of alert fatigue, tool sprawl, and inconsistent forensic triage. Tier-1 and Tier-2 cybersecurity analysts are bombarded by thousands of disjointed telemetry alerts daily across disparate SIEM platforms, perimeter firewalls, endpoint detection sensors (EDR), and cloud gateways.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• </w:t>
      </w:r>
      <w:r>
        <w:rPr>
          <w:rFonts w:ascii="Arial" w:hAnsi="Arial"/>
          <w:color w:val="0F172A"/>
          <w:sz w:val="20"/>
        </w:rPr>
        <w:t>Key Industrial Challenges Addressed: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1. Tool Sprawl &amp; Context Switching: </w:t>
      </w:r>
      <w:r>
        <w:rPr>
          <w:rFonts w:ascii="Arial" w:hAnsi="Arial"/>
          <w:color w:val="0F172A"/>
          <w:sz w:val="20"/>
        </w:rPr>
        <w:t>Analysts routinely switch across 15+ disconnected command-line tools, regex scripts, and unverified third-party web decoders, creating extreme operational friction and delaying Mean Time to Detect (MTTD) and Mean Time to Respond (MTTR).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2. Opaque Triage Output: </w:t>
      </w:r>
      <w:r>
        <w:rPr>
          <w:rFonts w:ascii="Arial" w:hAnsi="Arial"/>
          <w:color w:val="0F172A"/>
          <w:sz w:val="20"/>
        </w:rPr>
        <w:t>Traditional security utilities return opaque binary verdicts without structured technical evidence, mathematical explanation, or actionable remediation playbooks.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3. Mutable Audit Records: </w:t>
      </w:r>
      <w:r>
        <w:rPr>
          <w:rFonts w:ascii="Arial" w:hAnsi="Arial"/>
          <w:color w:val="0F172A"/>
          <w:sz w:val="20"/>
        </w:rPr>
        <w:t>Traditional analyst logs reside in flat files or mutable relational tables vulnerable to unauthorized modification or evidence tampering during regulatory compliance audits (GDPR, HIPAA, SEC Form 8-K).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4. Manual Rule Synthesis: </w:t>
      </w:r>
      <w:r>
        <w:rPr>
          <w:rFonts w:ascii="Arial" w:hAnsi="Arial"/>
          <w:color w:val="0F172A"/>
          <w:sz w:val="20"/>
        </w:rPr>
        <w:t>Transforming raw incident telemetry into deployable firewall rules, YARA signatures, or Suricata rules requires manual authoring during critical active breaches.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2. COMPREHENSIVE PROJECT REPORT</w:t>
      </w:r>
    </w:p>
    <w:p>
      <w:pPr>
        <w:spacing w:before="0" w:after="160"/>
      </w:pPr>
      <w:r>
        <w:rPr>
          <w:color w:val="0E7490"/>
          <w:sz w:val="16"/>
        </w:rPr>
        <w:t>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0E7490"/>
          <w:sz w:val="24"/>
        </w:rPr>
        <w:t>2.1 Executive Abstract &amp; Proposed Solution</w:t>
      </w:r>
    </w:p>
    <w:p>
      <w:pPr>
        <w:spacing w:before="40" w:after="80" w:line="276" w:lineRule="auto"/>
      </w:pPr>
      <w:r>
        <w:rPr>
          <w:rFonts w:ascii="Arial" w:hAnsi="Arial"/>
          <w:color w:val="0F172A"/>
          <w:sz w:val="20"/>
        </w:rPr>
        <w:t>CipherGuard is a unified, enterprise-grade defensive cybersecurity workbench and autonomous SOC triage ecosystem. Powered by an asynchronous FastAPI backend and a hardware-accelerated React 18 / TypeScript / Tailwind CSS frontend, CipherGuard provides instantaneous forensic analysis across 8 core security domains comprising 80 specialized tools.</w:t>
      </w:r>
    </w:p>
    <w:p>
      <w:pPr>
        <w:spacing w:before="40" w:after="80" w:line="276" w:lineRule="auto"/>
      </w:pPr>
      <w:r>
        <w:rPr>
          <w:rFonts w:ascii="Arial" w:hAnsi="Arial"/>
          <w:color w:val="0F172A"/>
          <w:sz w:val="20"/>
        </w:rPr>
        <w:t>Every operation adheres to a strict 5-Layer Analytical Standard (Verdict, Risk Score, Empirical Technical Evidence, Actionable Remediation Playbook, and Educational/Regulatory Standards). Crucially, every analyst action is cryptographically recorded in a SHA-256 hash-chained block ledger that guarantees non-repudiation and mathematical tamper verification.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pherguar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1: CipherGuard End-to-End System Architecture (Presentation Tier, Async Core, 8 Suites, SHA-256 Ledger)</w:t>
      </w:r>
    </w:p>
    <w:p>
      <w:pPr>
        <w:keepNext/>
        <w:spacing w:before="280" w:after="120"/>
      </w:pPr>
      <w:r>
        <w:rPr>
          <w:rFonts w:ascii="Arial" w:hAnsi="Arial"/>
          <w:b/>
          <w:color w:val="0E7490"/>
          <w:sz w:val="24"/>
        </w:rPr>
        <w:t>2.2 Five-Layer Analytical Standard</w:t>
      </w:r>
    </w:p>
    <w:p>
      <w:pPr>
        <w:spacing w:before="40" w:after="80" w:line="276" w:lineRule="auto"/>
      </w:pPr>
      <w:r>
        <w:rPr>
          <w:rFonts w:ascii="Arial" w:hAnsi="Arial"/>
          <w:color w:val="0F172A"/>
          <w:sz w:val="20"/>
        </w:rPr>
        <w:t>To eliminate guesswork and standardise security reporting, all 80 tools deliver a 5-layer response model: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Layer 1 - Verdict: </w:t>
      </w:r>
      <w:r>
        <w:rPr>
          <w:rFonts w:ascii="Arial" w:hAnsi="Arial"/>
          <w:color w:val="0F172A"/>
          <w:sz w:val="20"/>
        </w:rPr>
        <w:t>Categorical classification into CLEAN, SUSPICIOUS, MALICIOUS, or CRITICAL based on calibrated threat thresholds.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Layer 2 - Risk Score: </w:t>
      </w:r>
      <w:r>
        <w:rPr>
          <w:rFonts w:ascii="Arial" w:hAnsi="Arial"/>
          <w:color w:val="0F172A"/>
          <w:sz w:val="20"/>
        </w:rPr>
        <w:t>Normalized 0-100 numerical index incorporating mathematical weights for attack indicators.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Layer 3 - Technical Evidence: </w:t>
      </w:r>
      <w:r>
        <w:rPr>
          <w:rFonts w:ascii="Arial" w:hAnsi="Arial"/>
          <w:color w:val="0F172A"/>
          <w:sz w:val="20"/>
        </w:rPr>
        <w:t>Structured key-value indicators (Shannon entropy in bits, inter-arrival intervals, packet rates, decoded shellcode).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Layer 4 - Remediation Playbook: </w:t>
      </w:r>
      <w:r>
        <w:rPr>
          <w:rFonts w:ascii="Arial" w:hAnsi="Arial"/>
          <w:color w:val="0F172A"/>
          <w:sz w:val="20"/>
        </w:rPr>
        <w:t>Step-by-step SOC incident containment and eradication playbooks tailored to the identified threat.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Layer 5 - Standards &amp; Education: </w:t>
      </w:r>
      <w:r>
        <w:rPr>
          <w:rFonts w:ascii="Arial" w:hAnsi="Arial"/>
          <w:color w:val="0F172A"/>
          <w:sz w:val="20"/>
        </w:rPr>
        <w:t>Direct alignment to NIST SP 800-61r2, MITRE ATT&amp;CK Matrix techniques, RFC protocol standards, and ISO 27001.</w:t>
      </w:r>
    </w:p>
    <w:p>
      <w:r>
        <w:drawing>
          <wp:inline xmlns:a="http://schemas.openxmlformats.org/drawingml/2006/main" xmlns:pic="http://schemas.openxmlformats.org/drawingml/2006/picture">
            <wp:extent cx="5669280" cy="3350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layer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2: The Five-Layer Analytical Standard Implemented Across All 80 Tools</w:t>
      </w:r>
    </w:p>
    <w:p>
      <w:pPr>
        <w:keepNext/>
        <w:spacing w:before="280" w:after="120"/>
      </w:pPr>
      <w:r>
        <w:rPr>
          <w:rFonts w:ascii="Arial" w:hAnsi="Arial"/>
          <w:b/>
          <w:color w:val="0E7490"/>
          <w:sz w:val="24"/>
        </w:rPr>
        <w:t>2.3 Cryptographic SHA-256 Hash-Chained Audit Ledger</w:t>
      </w:r>
    </w:p>
    <w:p>
      <w:pPr>
        <w:spacing w:before="40" w:after="80" w:line="276" w:lineRule="auto"/>
      </w:pPr>
      <w:r>
        <w:rPr>
          <w:rFonts w:ascii="Arial" w:hAnsi="Arial"/>
          <w:color w:val="0F172A"/>
          <w:sz w:val="20"/>
        </w:rPr>
        <w:t>To satisfy stringent legal chain-of-custody requirements, CipherGuard features an internal blockchain-modeled audit ledger. Each recorded event is bound to its predecessor via SHA-256: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Cryptographic Invariant: </w:t>
      </w:r>
      <w:r>
        <w:rPr>
          <w:rFonts w:ascii="Arial" w:hAnsi="Arial"/>
          <w:color w:val="0F172A"/>
          <w:sz w:val="20"/>
        </w:rPr>
        <w:t>Hash_k = SHA256( k || Timestamp || Tool_ID || Actor || Verdict || RiskScore || Hash_{k-1} )</w:t>
      </w:r>
    </w:p>
    <w:p>
      <w:pPr>
        <w:spacing w:before="40" w:after="80" w:line="276" w:lineRule="auto"/>
      </w:pPr>
      <w:r>
        <w:rPr>
          <w:rFonts w:ascii="Arial" w:hAnsi="Arial"/>
          <w:color w:val="0F172A"/>
          <w:sz w:val="20"/>
        </w:rPr>
        <w:t>A dedicated verification algorithm traverses the ledger upon request, recalculating each block hash. If an attacker or insider alters a single character in past evidence, the entire chain downstream fails validation.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ger_blockchai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3: SHA-256 Hash-Chaining &amp; Tamper-Evident Verification Architecture</w:t>
      </w:r>
    </w:p>
    <w:p>
      <w:pPr>
        <w:keepNext/>
        <w:spacing w:before="280" w:after="120"/>
      </w:pPr>
      <w:r>
        <w:rPr>
          <w:rFonts w:ascii="Arial" w:hAnsi="Arial"/>
          <w:b/>
          <w:color w:val="0E7490"/>
          <w:sz w:val="24"/>
        </w:rPr>
        <w:t>2.4 The 8 Specialized Security Suites (80 Tools)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ite_eco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7"/>
        </w:rPr>
        <w:t>Figure 4: The 8 Specialized Forensic Suites Covering 80 Real-World Cybersecurity Tools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3. PROGRAM OUTCOMES (PO) &amp; PROGRAM SPECIFIC OUTCOMES (PSO) MAPPING</w:t>
      </w:r>
    </w:p>
    <w:p>
      <w:pPr>
        <w:spacing w:before="0" w:after="160"/>
      </w:pPr>
      <w:r>
        <w:rPr>
          <w:color w:val="0E7490"/>
          <w:sz w:val="16"/>
        </w:rPr>
        <w:t>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rFonts w:ascii="Arial" w:hAnsi="Arial"/>
          <w:color w:val="0F172A"/>
          <w:sz w:val="20"/>
        </w:rPr>
        <w:t>The CipherGuard project directly aligns with Outcome-Based Education (OBE) criteria, fulfilling NBA and ABET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Program Outcome (PO)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Technical Justification &amp; Implementation in CipherGuard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Engineering Knowledge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Applied Shannon Entropy, statistical coefficient of variation (CV), and SHA-256 cryptographic chaining to detect malware packing, beaconing, and evidence tampering.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Problem Analysis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Formulated solutions for the industrial crisis of alert fatigue, unverified triage evidence, and disjointed SOC workflows.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Design/Development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Architected an 80-tool modular platform with sub-15ms latency, responsive cyber UI, and regulatory-compliant incident playbooks.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Complex Investigations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Simulated and triaged real-world adversarial attacks including polymorphic C2 beaconing, multi-stage phishing, and volumetric surges.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Modern Tool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Employed FastAPI (Python 3.10+ async), React 18, TypeScript, Tailwind CSS, Vite, SQLite3 WAL mode, and Git version control.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The Engineer &amp; Society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Defends critical digital infrastructure, financial systems, and citizen privacy against ransomware and cyber-extortion.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Environment &amp; Sustainability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Ultra-efficient local algorithmic execution eliminates unnecessary cloud compute cycles, minimizing server carbon footprints.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Ethics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Engineered exclusively defensive tools adhering to responsible vulnerability handling, GDPR privacy, and evidence integrity.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Communication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Built the CISO Executive Report Generator to translate granular forensic telemetry into strategic executive language for leadership.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Life-long Learning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Embedded live NIST SP 800-61r2, MITRE ATT&amp;CK, and RFC references in every tool, enabling continuous analyst training.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E7490"/>
          <w:sz w:val="24"/>
        </w:rPr>
        <w:t>Program Specific Outcomes (PSOs)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PSO1 (Security Architecture): </w:t>
      </w:r>
      <w:r>
        <w:rPr>
          <w:rFonts w:ascii="Arial" w:hAnsi="Arial"/>
          <w:color w:val="0F172A"/>
          <w:sz w:val="20"/>
        </w:rPr>
        <w:t>Formulated network protocol inspection, X.509 certificate triage, and SHA-256 cryptographic chain-of-custody validation.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PSO2 (Applied Algorithmic Engineering): </w:t>
      </w:r>
      <w:r>
        <w:rPr>
          <w:rFonts w:ascii="Arial" w:hAnsi="Arial"/>
          <w:color w:val="0F172A"/>
          <w:sz w:val="20"/>
        </w:rPr>
        <w:t>Engineered an 80-algorithm full-stack platform with sub-15ms latency and reactive UI state management.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4. UN SUSTAINABLE DEVELOPMENT GOALS (SDG) MAPPING</w:t>
      </w:r>
    </w:p>
    <w:p>
      <w:pPr>
        <w:spacing w:before="0" w:after="160"/>
      </w:pPr>
      <w:r>
        <w:rPr>
          <w:color w:val="0E7490"/>
          <w:sz w:val="16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3312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312"/>
            <w:shd w:fill="0E749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Direct Impact of CipherGuard</w:t>
            </w:r>
          </w:p>
        </w:tc>
      </w:tr>
      <w:tr>
        <w:tc>
          <w:tcPr>
            <w:tcW w:type="dxa" w:w="3312"/>
            <w:shd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SDG 9: Industry, Innovation &amp; Infrastructure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Target 9.1 &amp; 9.c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Protects essential enterprise, educational, and public infrastructure from crippling ransomware attacks and exfiltration breaches.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SDG 16: Peace, Justice &amp; Strong Institutions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Target 16.6 &amp; 16.10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The SHA-256 audit ledger guarantees tamper-evident digital evidence, preventing evidence alteration during legal and criminal proceedings.</w:t>
            </w:r>
          </w:p>
        </w:tc>
      </w:tr>
      <w:tr>
        <w:tc>
          <w:tcPr>
            <w:tcW w:type="dxa" w:w="3312"/>
            <w:shd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SDG 4: Quality Education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Target 4.4</w:t>
            </w:r>
          </w:p>
        </w:tc>
        <w:tc>
          <w:tcPr>
            <w:tcW w:type="dxa" w:w="3312"/>
            <w:shd w:fill="F0FD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Layer 5 educational references integrate NIST and MITRE ATT&amp;CK standards directly into analyst triage, accelerating technical skill-building.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5. MEASURABLE PROJECT OUTCOMES &amp; PRACTICAL IMPACT</w:t>
      </w:r>
    </w:p>
    <w:p>
      <w:pPr>
        <w:spacing w:before="0" w:after="160"/>
      </w:pPr>
      <w:r>
        <w:rPr>
          <w:color w:val="0E7490"/>
          <w:sz w:val="16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496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Measured Practical Achievement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Innovation</w:t>
            </w:r>
          </w:p>
        </w:tc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First cybersecurity platform to combine 80 specialized defensive tools, a standardized 5-layer explanatory model, and a cryptographic SHA-256 block ledger.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Prototype Readiness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Complete, production-ready full-stack software running 100% locally with zero cloud dependencies and sub-15ms response latency.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Problem Solving</w:t>
            </w:r>
          </w:p>
        </w:tc>
        <w:tc>
          <w:tcPr>
            <w:tcW w:type="dxa" w:w="496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Reduces Mean Time to Triage (MTTT) from an industry average of 25 minutes down to under 10 seconds per artifact.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Practical Application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Immediate deployment readiness for corporate SOCs, university security training labs, CERT teams, and MSSP providers.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6. SHORT VIDEO SCRIPT &amp; DEMO WALKTHROUGH (3 MINUTES)</w:t>
      </w:r>
    </w:p>
    <w:p>
      <w:pPr>
        <w:spacing w:before="0" w:after="160"/>
      </w:pPr>
      <w:r>
        <w:rPr>
          <w:color w:val="0E7490"/>
          <w:sz w:val="16"/>
        </w:rPr>
        <w:t>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0:00 - 0:30 (Problem &amp; Introduction): </w:t>
      </w:r>
      <w:r>
        <w:rPr>
          <w:rFonts w:ascii="Arial" w:hAnsi="Arial"/>
          <w:color w:val="0F172A"/>
          <w:sz w:val="20"/>
        </w:rPr>
        <w:t>Introduce the team, venue, and highlight the crisis of SOC alert fatigue, tool sprawling, and evidence tampering.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0:30 - 1:15 (Live Analysis Demo): </w:t>
      </w:r>
      <w:r>
        <w:rPr>
          <w:rFonts w:ascii="Arial" w:hAnsi="Arial"/>
          <w:color w:val="0F172A"/>
          <w:sz w:val="20"/>
        </w:rPr>
        <w:t>Load an obfuscated phishing payload and jittered C2 beaconing log. Showcase the instant 5-layer triage result (Verdict, Risk Score, Empirical Evidence, Playbook, MITRE tag).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1:15 - 2:00 (Defensive Rule Synthesis): </w:t>
      </w:r>
      <w:r>
        <w:rPr>
          <w:rFonts w:ascii="Arial" w:hAnsi="Arial"/>
          <w:color w:val="0F172A"/>
          <w:sz w:val="20"/>
        </w:rPr>
        <w:t>Demonstrate the 1-click Output Buffer generating deployable multi-target firewall rules (iptables, nftables, PowerShell) and YARA rules.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2:00 - 2:40 (Cryptographic Audit Ledger): </w:t>
      </w:r>
      <w:r>
        <w:rPr>
          <w:rFonts w:ascii="Arial" w:hAnsi="Arial"/>
          <w:color w:val="0F172A"/>
          <w:sz w:val="20"/>
        </w:rPr>
        <w:t>Inspect the SHA-256 Audit Ledger modal, show the chained blocks, and trigger the 'Verify Chain Integrity' button demonstrating 0 tampered blocks.</w:t>
      </w:r>
    </w:p>
    <w:p>
      <w:pPr>
        <w:spacing w:before="40" w:after="80" w:line="276" w:lineRule="auto"/>
      </w:pPr>
      <w:r>
        <w:rPr>
          <w:rFonts w:ascii="Arial" w:hAnsi="Arial"/>
          <w:b/>
          <w:color w:val="1E3A8A"/>
          <w:sz w:val="20"/>
        </w:rPr>
        <w:t xml:space="preserve">2:40 - 3:00 (Conclusion &amp; Evaluation): </w:t>
      </w:r>
      <w:r>
        <w:rPr>
          <w:rFonts w:ascii="Arial" w:hAnsi="Arial"/>
          <w:color w:val="0F172A"/>
          <w:sz w:val="20"/>
        </w:rPr>
        <w:t>Summarize PO/PSO and SDG alignment, and explain how CipherGuard slashes incident response time by over 70%.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