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jc w:val="center"/>
      </w:pPr>
      <w:r>
        <w:rPr>
          <w:rFonts w:ascii="Calibri" w:hAnsi="Calibri"/>
          <w:b/>
          <w:color w:val="1F4E79"/>
          <w:sz w:val="44"/>
        </w:rPr>
        <w:t>WORKING STANDARD OPERATING PROCEDURE</w:t>
      </w:r>
    </w:p>
    <w:p>
      <w:pPr>
        <w:spacing w:after="240"/>
        <w:jc w:val="center"/>
      </w:pPr>
      <w:r>
        <w:rPr>
          <w:rFonts w:ascii="Calibri" w:hAnsi="Calibri"/>
          <w:color w:val="595959"/>
          <w:sz w:val="24"/>
        </w:rPr>
        <w:t>IT Equipment Loan &amp; Return Management System (equipment_loan)</w:t>
        <w:br/>
        <w:t>Complete Step-by-Step Operator Guide with Verified UI Screenshots</w:t>
      </w:r>
    </w:p>
    <w:tbl>
      <w:tblPr>
        <w:tblW w:type="auto" w:w="0"/>
        <w:jc w:val="center"/>
        <w:tblLook w:firstColumn="1" w:firstRow="1" w:lastColumn="0" w:lastRow="0" w:noHBand="0" w:noVBand="1" w:val="04A0"/>
      </w:tblPr>
      <w:tblGrid>
        <w:gridCol w:w="4824"/>
        <w:gridCol w:w="4824"/>
      </w:tblGrid>
      <w:tr>
        <w:tc>
          <w:tcPr>
            <w:tcW w:type="dxa" w:w="2880"/>
            <w:shd w:fill="E9EEF4"/>
            <w:tcMar>
              <w:top w:w="40" w:type="dxa"/>
              <w:bottom w:w="40" w:type="dxa"/>
              <w:left w:w="70" w:type="dxa"/>
              <w:right w:w="70" w:type="dxa"/>
            </w:tcMar>
          </w:tcPr>
          <w:p>
            <w:pPr>
              <w:spacing w:after="0"/>
            </w:pPr>
            <w:r>
              <w:rPr>
                <w:rFonts w:ascii="Calibri" w:hAnsi="Calibri"/>
                <w:b/>
                <w:sz w:val="18"/>
              </w:rPr>
              <w:t>Document ID</w:t>
            </w:r>
          </w:p>
        </w:tc>
        <w:tc>
          <w:tcPr>
            <w:tcW w:type="dxa" w:w="6768"/>
            <w:tcMar>
              <w:top w:w="40" w:type="dxa"/>
              <w:bottom w:w="40" w:type="dxa"/>
              <w:left w:w="70" w:type="dxa"/>
              <w:right w:w="70" w:type="dxa"/>
            </w:tcMar>
          </w:tcPr>
          <w:p>
            <w:pPr>
              <w:spacing w:after="0"/>
            </w:pPr>
            <w:r>
              <w:rPr>
                <w:rFonts w:ascii="Calibri" w:hAnsi="Calibri"/>
                <w:sz w:val="18"/>
              </w:rPr>
              <w:t>SOP-OPS-ITAM-2026-001</w:t>
            </w:r>
          </w:p>
        </w:tc>
      </w:tr>
      <w:tr>
        <w:tc>
          <w:tcPr>
            <w:tcW w:type="dxa" w:w="2880"/>
            <w:shd w:fill="E9EEF4"/>
            <w:tcMar>
              <w:top w:w="40" w:type="dxa"/>
              <w:bottom w:w="40" w:type="dxa"/>
              <w:left w:w="70" w:type="dxa"/>
              <w:right w:w="70" w:type="dxa"/>
            </w:tcMar>
          </w:tcPr>
          <w:p>
            <w:pPr>
              <w:spacing w:after="0"/>
            </w:pPr>
            <w:r>
              <w:rPr>
                <w:rFonts w:ascii="Calibri" w:hAnsi="Calibri"/>
                <w:b/>
                <w:sz w:val="18"/>
              </w:rPr>
              <w:t>System Module</w:t>
            </w:r>
          </w:p>
        </w:tc>
        <w:tc>
          <w:tcPr>
            <w:tcW w:type="dxa" w:w="6768"/>
            <w:tcMar>
              <w:top w:w="40" w:type="dxa"/>
              <w:bottom w:w="40" w:type="dxa"/>
              <w:left w:w="70" w:type="dxa"/>
              <w:right w:w="70" w:type="dxa"/>
            </w:tcMar>
          </w:tcPr>
          <w:p>
            <w:pPr>
              <w:spacing w:after="0"/>
            </w:pPr>
            <w:r>
              <w:rPr>
                <w:rFonts w:ascii="Calibri" w:hAnsi="Calibri"/>
                <w:sz w:val="18"/>
              </w:rPr>
              <w:t>IT Asset Management (ITAM) • Frappe Framework</w:t>
            </w:r>
          </w:p>
        </w:tc>
      </w:tr>
      <w:tr>
        <w:tc>
          <w:tcPr>
            <w:tcW w:type="dxa" w:w="2880"/>
            <w:shd w:fill="E9EEF4"/>
            <w:tcMar>
              <w:top w:w="40" w:type="dxa"/>
              <w:bottom w:w="40" w:type="dxa"/>
              <w:left w:w="70" w:type="dxa"/>
              <w:right w:w="70" w:type="dxa"/>
            </w:tcMar>
          </w:tcPr>
          <w:p>
            <w:pPr>
              <w:spacing w:after="0"/>
            </w:pPr>
            <w:r>
              <w:rPr>
                <w:rFonts w:ascii="Calibri" w:hAnsi="Calibri"/>
                <w:b/>
                <w:sz w:val="18"/>
              </w:rPr>
              <w:t>Effective Date</w:t>
            </w:r>
          </w:p>
        </w:tc>
        <w:tc>
          <w:tcPr>
            <w:tcW w:type="dxa" w:w="6768"/>
            <w:tcMar>
              <w:top w:w="40" w:type="dxa"/>
              <w:bottom w:w="40" w:type="dxa"/>
              <w:left w:w="70" w:type="dxa"/>
              <w:right w:w="70" w:type="dxa"/>
            </w:tcMar>
          </w:tcPr>
          <w:p>
            <w:pPr>
              <w:spacing w:after="0"/>
            </w:pPr>
            <w:r>
              <w:rPr>
                <w:rFonts w:ascii="Calibri" w:hAnsi="Calibri"/>
                <w:sz w:val="18"/>
              </w:rPr>
              <w:t>September 21, 2026</w:t>
            </w:r>
          </w:p>
        </w:tc>
      </w:tr>
      <w:tr>
        <w:tc>
          <w:tcPr>
            <w:tcW w:type="dxa" w:w="2880"/>
            <w:shd w:fill="E9EEF4"/>
            <w:tcMar>
              <w:top w:w="40" w:type="dxa"/>
              <w:bottom w:w="40" w:type="dxa"/>
              <w:left w:w="70" w:type="dxa"/>
              <w:right w:w="70" w:type="dxa"/>
            </w:tcMar>
          </w:tcPr>
          <w:p>
            <w:pPr>
              <w:spacing w:after="0"/>
            </w:pPr>
            <w:r>
              <w:rPr>
                <w:rFonts w:ascii="Calibri" w:hAnsi="Calibri"/>
                <w:b/>
                <w:sz w:val="18"/>
              </w:rPr>
              <w:t>Target Operators</w:t>
            </w:r>
          </w:p>
        </w:tc>
        <w:tc>
          <w:tcPr>
            <w:tcW w:type="dxa" w:w="6768"/>
            <w:tcMar>
              <w:top w:w="40" w:type="dxa"/>
              <w:bottom w:w="40" w:type="dxa"/>
              <w:left w:w="70" w:type="dxa"/>
              <w:right w:w="70" w:type="dxa"/>
            </w:tcMar>
          </w:tcPr>
          <w:p>
            <w:pPr>
              <w:spacing w:after="0"/>
            </w:pPr>
            <w:r>
              <w:rPr>
                <w:rFonts w:ascii="Calibri" w:hAnsi="Calibri"/>
                <w:sz w:val="18"/>
              </w:rPr>
              <w:t>IT Helpdesk Technicians, Asset Managers, Department Approvers, Employees</w:t>
            </w:r>
          </w:p>
        </w:tc>
      </w:tr>
    </w:tbl>
    <w:p>
      <w:pPr>
        <w:spacing w:after="160"/>
      </w:pPr>
    </w:p>
    <w:p>
      <w:pPr>
        <w:pStyle w:val="Heading1"/>
        <w:keepNext/>
        <w:spacing w:before="240" w:after="80"/>
      </w:pPr>
      <w:r>
        <w:t>1. Purpose &amp; Operational Objectives</w:t>
      </w:r>
    </w:p>
    <w:p>
      <w:pPr>
        <w:spacing w:after="80"/>
      </w:pPr>
      <w:r>
        <w:t>This Standard Operating Procedure (SOP) provides a complete, visual, step-by-step operational manual for issuing, tracking, and inspecting corporate IT hardware assets (laptops, displays, cameras, and peripherals) using the IT Equipment Loan System built on Frappe Framework.</w:t>
      </w:r>
    </w:p>
    <w:tbl>
      <w:tblPr>
        <w:tblW w:type="auto" w:w="0"/>
        <w:jc w:val="center"/>
        <w:tblLook w:firstColumn="1" w:firstRow="1" w:lastColumn="0" w:lastRow="0" w:noHBand="0" w:noVBand="1" w:val="04A0"/>
      </w:tblPr>
      <w:tblGrid>
        <w:gridCol w:w="9648"/>
      </w:tblGrid>
      <w:tr>
        <w:tc>
          <w:tcPr>
            <w:tcW w:type="dxa" w:w="9648"/>
            <w:tcMar>
              <w:top w:w="80" w:type="dxa"/>
              <w:bottom w:w="80" w:type="dxa"/>
              <w:left w:w="140" w:type="dxa"/>
              <w:right w:w="140" w:type="dxa"/>
            </w:tcMar>
            <w:shd w:fill="EEF2FF"/>
            <w:tcBorders>
              <w:left w:val="single" w:sz="24" w:space="0" w:color="4F46E5"/>
              <w:top w:val="none"/>
              <w:right w:val="none"/>
              <w:bottom w:val="none"/>
            </w:tcBorders>
          </w:tcPr>
          <w:p>
            <w:pPr>
              <w:spacing w:before="40" w:after="40"/>
            </w:pPr>
            <w:r>
              <w:rPr>
                <w:rFonts w:ascii="Calibri" w:hAnsi="Calibri"/>
                <w:b/>
                <w:color w:val="4F46E5"/>
                <w:sz w:val="19"/>
              </w:rPr>
              <w:t xml:space="preserve">[CORE POLICY MANDATE] </w:t>
            </w:r>
            <w:r>
              <w:rPr>
                <w:rFonts w:ascii="Calibri" w:hAnsi="Calibri"/>
                <w:sz w:val="18"/>
              </w:rPr>
              <w:t>Zero-Loss Mandate: Every hardware item leaving IT Helpdesk custody must be registered in an Active Equipment Loan document with itemized serial numbers, signed voucher agreement, and scheduled return date not exceeding 30 calendar days.</w:t>
            </w:r>
          </w:p>
        </w:tc>
      </w:tr>
    </w:tbl>
    <w:p>
      <w:pPr>
        <w:spacing w:after="80"/>
      </w:pPr>
    </w:p>
    <w:p>
      <w:pPr>
        <w:pStyle w:val="Heading1"/>
        <w:keepNext/>
        <w:spacing w:before="240" w:after="80"/>
      </w:pPr>
      <w:r>
        <w:t>2. Roles &amp; Responsibilities (RACI Matrix)</w:t>
      </w:r>
    </w:p>
    <w:tbl>
      <w:tblPr>
        <w:tblW w:type="auto" w:w="0"/>
        <w:jc w:val="center"/>
        <w:tblLook w:firstColumn="1" w:firstRow="1" w:lastColumn="0" w:lastRow="0" w:noHBand="0" w:noVBand="1" w:val="04A0"/>
      </w:tblPr>
      <w:tblGrid>
        <w:gridCol w:w="3216"/>
        <w:gridCol w:w="3216"/>
        <w:gridCol w:w="3216"/>
      </w:tblGrid>
      <w:tr>
        <w:tc>
          <w:tcPr>
            <w:tcW w:type="dxa" w:w="3216"/>
            <w:shd w:fill="1F4E79"/>
            <w:tcMar>
              <w:top w:w="45" w:type="dxa"/>
              <w:bottom w:w="45" w:type="dxa"/>
              <w:left w:w="60" w:type="dxa"/>
              <w:right w:w="60" w:type="dxa"/>
            </w:tcMar>
          </w:tcPr>
          <w:p>
            <w:r>
              <w:rPr>
                <w:rFonts w:ascii="Calibri" w:hAnsi="Calibri"/>
                <w:b/>
                <w:color w:val="FFFFFF"/>
                <w:sz w:val="17"/>
              </w:rPr>
              <w:t>Role Title</w:t>
            </w:r>
          </w:p>
        </w:tc>
        <w:tc>
          <w:tcPr>
            <w:tcW w:type="dxa" w:w="3216"/>
            <w:shd w:fill="1F4E79"/>
            <w:tcMar>
              <w:top w:w="45" w:type="dxa"/>
              <w:bottom w:w="45" w:type="dxa"/>
              <w:left w:w="60" w:type="dxa"/>
              <w:right w:w="60" w:type="dxa"/>
            </w:tcMar>
          </w:tcPr>
          <w:p>
            <w:r>
              <w:rPr>
                <w:rFonts w:ascii="Calibri" w:hAnsi="Calibri"/>
                <w:b/>
                <w:color w:val="FFFFFF"/>
                <w:sz w:val="17"/>
              </w:rPr>
              <w:t>Key Operational Responsibilities</w:t>
            </w:r>
          </w:p>
        </w:tc>
        <w:tc>
          <w:tcPr>
            <w:tcW w:type="dxa" w:w="3216"/>
            <w:shd w:fill="1F4E79"/>
            <w:tcMar>
              <w:top w:w="45" w:type="dxa"/>
              <w:bottom w:w="45" w:type="dxa"/>
              <w:left w:w="60" w:type="dxa"/>
              <w:right w:w="60" w:type="dxa"/>
            </w:tcMar>
          </w:tcPr>
          <w:p>
            <w:r>
              <w:rPr>
                <w:rFonts w:ascii="Calibri" w:hAnsi="Calibri"/>
                <w:b/>
                <w:color w:val="FFFFFF"/>
                <w:sz w:val="17"/>
              </w:rPr>
              <w:t>Frappe Desk Role Binding</w:t>
            </w:r>
          </w:p>
        </w:tc>
      </w:tr>
      <w:tr>
        <w:tc>
          <w:tcPr>
            <w:tcW w:type="dxa" w:w="3216"/>
            <w:shd w:fill="FFFFFF"/>
            <w:tcMar>
              <w:top w:w="35" w:type="dxa"/>
              <w:bottom w:w="35" w:type="dxa"/>
              <w:left w:w="50" w:type="dxa"/>
              <w:right w:w="50" w:type="dxa"/>
            </w:tcMar>
          </w:tcPr>
          <w:p>
            <w:pPr>
              <w:spacing w:after="0"/>
            </w:pPr>
            <w:r>
              <w:rPr>
                <w:rFonts w:ascii="Calibri" w:hAnsi="Calibri"/>
                <w:b/>
                <w:sz w:val="16"/>
              </w:rPr>
              <w:t>IT Asset Administrator</w:t>
            </w:r>
          </w:p>
        </w:tc>
        <w:tc>
          <w:tcPr>
            <w:tcW w:type="dxa" w:w="3216"/>
            <w:shd w:fill="FFFFFF"/>
            <w:tcMar>
              <w:top w:w="35" w:type="dxa"/>
              <w:bottom w:w="35" w:type="dxa"/>
              <w:left w:w="50" w:type="dxa"/>
              <w:right w:w="50" w:type="dxa"/>
            </w:tcMar>
          </w:tcPr>
          <w:p>
            <w:pPr>
              <w:spacing w:after="0"/>
            </w:pPr>
            <w:r>
              <w:rPr>
                <w:rFonts w:ascii="Calibri" w:hAnsi="Calibri"/>
                <w:sz w:val="16"/>
              </w:rPr>
              <w:t>Validates eligibility, issues hardware, submits loan doc, performs return physical check.</w:t>
            </w:r>
          </w:p>
        </w:tc>
        <w:tc>
          <w:tcPr>
            <w:tcW w:type="dxa" w:w="3216"/>
            <w:shd w:fill="FFFFFF"/>
            <w:tcMar>
              <w:top w:w="35" w:type="dxa"/>
              <w:bottom w:w="35" w:type="dxa"/>
              <w:left w:w="50" w:type="dxa"/>
              <w:right w:w="50" w:type="dxa"/>
            </w:tcMar>
          </w:tcPr>
          <w:p>
            <w:pPr>
              <w:spacing w:after="0"/>
            </w:pPr>
            <w:r>
              <w:rPr>
                <w:rFonts w:ascii="Calibri" w:hAnsi="Calibri"/>
                <w:sz w:val="16"/>
              </w:rPr>
              <w:t>IT Asset Manager (Full CRUD + Submit + Cancel)</w:t>
            </w:r>
          </w:p>
        </w:tc>
      </w:tr>
      <w:tr>
        <w:tc>
          <w:tcPr>
            <w:tcW w:type="dxa" w:w="3216"/>
            <w:shd w:fill="F8FAFC"/>
            <w:tcMar>
              <w:top w:w="35" w:type="dxa"/>
              <w:bottom w:w="35" w:type="dxa"/>
              <w:left w:w="50" w:type="dxa"/>
              <w:right w:w="50" w:type="dxa"/>
            </w:tcMar>
          </w:tcPr>
          <w:p>
            <w:pPr>
              <w:spacing w:after="0"/>
            </w:pPr>
            <w:r>
              <w:rPr>
                <w:rFonts w:ascii="Calibri" w:hAnsi="Calibri"/>
                <w:b/>
                <w:sz w:val="16"/>
              </w:rPr>
              <w:t>Employee Borrower</w:t>
            </w:r>
          </w:p>
        </w:tc>
        <w:tc>
          <w:tcPr>
            <w:tcW w:type="dxa" w:w="3216"/>
            <w:shd w:fill="F8FAFC"/>
            <w:tcMar>
              <w:top w:w="35" w:type="dxa"/>
              <w:bottom w:w="35" w:type="dxa"/>
              <w:left w:w="50" w:type="dxa"/>
              <w:right w:w="50" w:type="dxa"/>
            </w:tcMar>
          </w:tcPr>
          <w:p>
            <w:pPr>
              <w:spacing w:after="0"/>
            </w:pPr>
            <w:r>
              <w:rPr>
                <w:rFonts w:ascii="Calibri" w:hAnsi="Calibri"/>
                <w:sz w:val="16"/>
              </w:rPr>
              <w:t>Takes physical custody, signs voucher, returns hardware on or before due date.</w:t>
            </w:r>
          </w:p>
        </w:tc>
        <w:tc>
          <w:tcPr>
            <w:tcW w:type="dxa" w:w="3216"/>
            <w:shd w:fill="F8FAFC"/>
            <w:tcMar>
              <w:top w:w="35" w:type="dxa"/>
              <w:bottom w:w="35" w:type="dxa"/>
              <w:left w:w="50" w:type="dxa"/>
              <w:right w:w="50" w:type="dxa"/>
            </w:tcMar>
          </w:tcPr>
          <w:p>
            <w:pPr>
              <w:spacing w:after="0"/>
            </w:pPr>
            <w:r>
              <w:rPr>
                <w:rFonts w:ascii="Calibri" w:hAnsi="Calibri"/>
                <w:sz w:val="16"/>
              </w:rPr>
              <w:t>Employee (Portal View, E-sign)</w:t>
            </w:r>
          </w:p>
        </w:tc>
      </w:tr>
      <w:tr>
        <w:tc>
          <w:tcPr>
            <w:tcW w:type="dxa" w:w="3216"/>
            <w:shd w:fill="FFFFFF"/>
            <w:tcMar>
              <w:top w:w="35" w:type="dxa"/>
              <w:bottom w:w="35" w:type="dxa"/>
              <w:left w:w="50" w:type="dxa"/>
              <w:right w:w="50" w:type="dxa"/>
            </w:tcMar>
          </w:tcPr>
          <w:p>
            <w:pPr>
              <w:spacing w:after="0"/>
            </w:pPr>
            <w:r>
              <w:rPr>
                <w:rFonts w:ascii="Calibri" w:hAnsi="Calibri"/>
                <w:b/>
                <w:sz w:val="16"/>
              </w:rPr>
              <w:t>Department Manager</w:t>
            </w:r>
          </w:p>
        </w:tc>
        <w:tc>
          <w:tcPr>
            <w:tcW w:type="dxa" w:w="3216"/>
            <w:shd w:fill="FFFFFF"/>
            <w:tcMar>
              <w:top w:w="35" w:type="dxa"/>
              <w:bottom w:w="35" w:type="dxa"/>
              <w:left w:w="50" w:type="dxa"/>
              <w:right w:w="50" w:type="dxa"/>
            </w:tcMar>
          </w:tcPr>
          <w:p>
            <w:pPr>
              <w:spacing w:after="0"/>
            </w:pPr>
            <w:r>
              <w:rPr>
                <w:rFonts w:ascii="Calibri" w:hAnsi="Calibri"/>
                <w:sz w:val="16"/>
              </w:rPr>
              <w:t>Authorizes high-value loans (&gt; $3,000) or extended multi-month loan renewals.</w:t>
            </w:r>
          </w:p>
        </w:tc>
        <w:tc>
          <w:tcPr>
            <w:tcW w:type="dxa" w:w="3216"/>
            <w:shd w:fill="FFFFFF"/>
            <w:tcMar>
              <w:top w:w="35" w:type="dxa"/>
              <w:bottom w:w="35" w:type="dxa"/>
              <w:left w:w="50" w:type="dxa"/>
              <w:right w:w="50" w:type="dxa"/>
            </w:tcMar>
          </w:tcPr>
          <w:p>
            <w:pPr>
              <w:spacing w:after="0"/>
            </w:pPr>
            <w:r>
              <w:rPr>
                <w:rFonts w:ascii="Calibri" w:hAnsi="Calibri"/>
                <w:sz w:val="16"/>
              </w:rPr>
              <w:t>Department Manager (Approver)</w:t>
            </w:r>
          </w:p>
        </w:tc>
      </w:tr>
      <w:tr>
        <w:tc>
          <w:tcPr>
            <w:tcW w:type="dxa" w:w="3216"/>
            <w:shd w:fill="F8FAFC"/>
            <w:tcMar>
              <w:top w:w="35" w:type="dxa"/>
              <w:bottom w:w="35" w:type="dxa"/>
              <w:left w:w="50" w:type="dxa"/>
              <w:right w:w="50" w:type="dxa"/>
            </w:tcMar>
          </w:tcPr>
          <w:p>
            <w:pPr>
              <w:spacing w:after="0"/>
            </w:pPr>
            <w:r>
              <w:rPr>
                <w:rFonts w:ascii="Calibri" w:hAnsi="Calibri"/>
                <w:b/>
                <w:sz w:val="16"/>
              </w:rPr>
              <w:t>Compliance Auditor</w:t>
            </w:r>
          </w:p>
        </w:tc>
        <w:tc>
          <w:tcPr>
            <w:tcW w:type="dxa" w:w="3216"/>
            <w:shd w:fill="F8FAFC"/>
            <w:tcMar>
              <w:top w:w="35" w:type="dxa"/>
              <w:bottom w:w="35" w:type="dxa"/>
              <w:left w:w="50" w:type="dxa"/>
              <w:right w:w="50" w:type="dxa"/>
            </w:tcMar>
          </w:tcPr>
          <w:p>
            <w:pPr>
              <w:spacing w:after="0"/>
            </w:pPr>
            <w:r>
              <w:rPr>
                <w:rFonts w:ascii="Calibri" w:hAnsi="Calibri"/>
                <w:sz w:val="16"/>
              </w:rPr>
              <w:t>Reviews monthly audit trail, verifies overdue borrower lockout, checks loss ratios.</w:t>
            </w:r>
          </w:p>
        </w:tc>
        <w:tc>
          <w:tcPr>
            <w:tcW w:type="dxa" w:w="3216"/>
            <w:shd w:fill="F8FAFC"/>
            <w:tcMar>
              <w:top w:w="35" w:type="dxa"/>
              <w:bottom w:w="35" w:type="dxa"/>
              <w:left w:w="50" w:type="dxa"/>
              <w:right w:w="50" w:type="dxa"/>
            </w:tcMar>
          </w:tcPr>
          <w:p>
            <w:pPr>
              <w:spacing w:after="0"/>
            </w:pPr>
            <w:r>
              <w:rPr>
                <w:rFonts w:ascii="Calibri" w:hAnsi="Calibri"/>
                <w:sz w:val="16"/>
              </w:rPr>
              <w:t>Auditor (Read-Only access to all logs)</w:t>
            </w:r>
          </w:p>
        </w:tc>
      </w:tr>
    </w:tbl>
    <w:p>
      <w:pPr>
        <w:spacing w:after="160"/>
      </w:pPr>
    </w:p>
    <w:p>
      <w:pPr>
        <w:pStyle w:val="Heading1"/>
        <w:keepNext/>
        <w:spacing w:before="240" w:after="80"/>
      </w:pPr>
      <w:r>
        <w:t>3. Step-by-Step Operator Walkthrough</w:t>
      </w:r>
    </w:p>
    <w:p>
      <w:pPr>
        <w:spacing w:after="120"/>
      </w:pPr>
      <w:r>
        <w:t>Step 3.1: Navigating to Equipment Loan Form</w:t>
        <w:br/>
        <w:t>1. Open Frappe Desk in your browser (https://itam.company.internal).</w:t>
        <w:br/>
        <w:t>2. In the Awesomebar (Ctrl + G or ⌘K), type 'Equipment Loan' and select Equipment Loan List.</w:t>
        <w:br/>
        <w:t>3. Click '+ Add Equipment Loan' to instantiate a new draft record.</w:t>
        <w:br/>
        <w:br/>
        <w:t>Step 3.2: Assigning Borrower &amp; Validation Rules</w:t>
        <w:br/>
        <w:t>1. Select the Borrower Employee (e.g. EMP-00104 - Alex Mercer). The Department auto-populates from the Employee master record.</w:t>
        <w:br/>
        <w:t>2. If an employee has active overdue items (e.g. EMP-00105 - Jordan Lee), the system throws an immediate PermissionError and blocks loan creation.</w:t>
        <w:br/>
        <w:t>3. Set the Loan Effective Date and Expected Return Date. The period cannot exceed 30 days.</w:t>
        <w:br/>
        <w:br/>
        <w:t>Step 3.3: Allocating Hardware Items &amp; Submitting Loan</w:t>
        <w:br/>
        <w:t>1. In Allocated Hardware Items, click 'Add Row'.</w:t>
        <w:br/>
        <w:t>2. Select the asset item code (e.g. AST-001 - MacBook Pro 16" M3 Max). The serial number and replacement value auto-populate.</w:t>
        <w:br/>
        <w:t>3. Click the blue 'Submit &amp; Lock Assets' button in the header.</w:t>
        <w:br/>
        <w:t>4. Status transitions to Active, and the assets in the catalog are immediately marked as 'Loaned Out'.</w:t>
      </w:r>
    </w:p>
    <w:p>
      <w:pPr>
        <w:spacing w:before="120" w:after="40"/>
        <w:jc w:val="center"/>
      </w:pPr>
    </w:p>
    <w:p>
      <w:r>
        <w:drawing>
          <wp:inline xmlns:a="http://schemas.openxmlformats.org/drawingml/2006/main" xmlns:pic="http://schemas.openxmlformats.org/drawingml/2006/picture">
            <wp:extent cx="5669280" cy="3164249"/>
            <wp:docPr id="1" name="Picture 1"/>
            <wp:cNvGraphicFramePr>
              <a:graphicFrameLocks noChangeAspect="1"/>
            </wp:cNvGraphicFramePr>
            <a:graphic>
              <a:graphicData uri="http://schemas.openxmlformats.org/drawingml/2006/picture">
                <pic:pic>
                  <pic:nvPicPr>
                    <pic:cNvPr id="0" name="01_equipment_loan_form.jpg"/>
                    <pic:cNvPicPr/>
                  </pic:nvPicPr>
                  <pic:blipFill>
                    <a:blip r:embed="rId11"/>
                    <a:stretch>
                      <a:fillRect/>
                    </a:stretch>
                  </pic:blipFill>
                  <pic:spPr>
                    <a:xfrm>
                      <a:off x="0" y="0"/>
                      <a:ext cx="5669280" cy="3164249"/>
                    </a:xfrm>
                    <a:prstGeom prst="rect"/>
                  </pic:spPr>
                </pic:pic>
              </a:graphicData>
            </a:graphic>
          </wp:inline>
        </w:drawing>
      </w:r>
    </w:p>
    <w:p>
      <w:pPr>
        <w:spacing w:after="160"/>
        <w:jc w:val="center"/>
      </w:pPr>
      <w:r>
        <w:rPr>
          <w:rFonts w:ascii="Calibri" w:hAnsi="Calibri"/>
          <w:i/>
          <w:color w:val="646464"/>
          <w:sz w:val="17"/>
        </w:rPr>
        <w:t>Figure 1: Verified Frappe Desk Equipment Loan Form (LOAN-2026-00042) showing active status and allocated item table.</w:t>
      </w:r>
    </w:p>
    <w:p>
      <w:pPr>
        <w:spacing w:after="120"/>
      </w:pPr>
      <w:r>
        <w:t>Step 3.4: Processing Equipment Returns (Check-In)</w:t>
        <w:br/>
        <w:t>When the employee brings back the equipment to the IT Helpdesk:</w:t>
        <w:br/>
        <w:t>1. Open the active loan document.</w:t>
        <w:br/>
        <w:t>2. Click the green 'Process Return' button in the top action bar.</w:t>
        <w:br/>
        <w:t>3. The Process Equipment Return modal dialog opens with a hardware inspection checklist.</w:t>
        <w:br/>
        <w:t>4. Confirm return date, check each operational box, select Condition Grade (Grade A / B / C), and enter inspector verification notes.</w:t>
        <w:br/>
        <w:t>5. Click 'Confirm Return'. The document status transitions to Returned, and assets are released back to Available.</w:t>
      </w:r>
    </w:p>
    <w:p>
      <w:pPr>
        <w:spacing w:before="120" w:after="40"/>
        <w:jc w:val="center"/>
      </w:pPr>
    </w:p>
    <w:p>
      <w:r>
        <w:drawing>
          <wp:inline xmlns:a="http://schemas.openxmlformats.org/drawingml/2006/main" xmlns:pic="http://schemas.openxmlformats.org/drawingml/2006/picture">
            <wp:extent cx="5303520" cy="2960104"/>
            <wp:docPr id="2" name="Picture 2"/>
            <wp:cNvGraphicFramePr>
              <a:graphicFrameLocks noChangeAspect="1"/>
            </wp:cNvGraphicFramePr>
            <a:graphic>
              <a:graphicData uri="http://schemas.openxmlformats.org/drawingml/2006/picture">
                <pic:pic>
                  <pic:nvPicPr>
                    <pic:cNvPr id="0" name="02_equipment_loan_return_modal.jpg"/>
                    <pic:cNvPicPr/>
                  </pic:nvPicPr>
                  <pic:blipFill>
                    <a:blip r:embed="rId12"/>
                    <a:stretch>
                      <a:fillRect/>
                    </a:stretch>
                  </pic:blipFill>
                  <pic:spPr>
                    <a:xfrm>
                      <a:off x="0" y="0"/>
                      <a:ext cx="5303520" cy="2960104"/>
                    </a:xfrm>
                    <a:prstGeom prst="rect"/>
                  </pic:spPr>
                </pic:pic>
              </a:graphicData>
            </a:graphic>
          </wp:inline>
        </w:drawing>
      </w:r>
    </w:p>
    <w:p>
      <w:pPr>
        <w:spacing w:after="160"/>
        <w:jc w:val="center"/>
      </w:pPr>
      <w:r>
        <w:rPr>
          <w:rFonts w:ascii="Calibri" w:hAnsi="Calibri"/>
          <w:i/>
          <w:color w:val="646464"/>
          <w:sz w:val="17"/>
        </w:rPr>
        <w:t>Figure 2: Verified Process Equipment Return inspection modal dialog with condition grade checklist and inspector notes.</w:t>
      </w:r>
    </w:p>
    <w:p>
      <w:pPr>
        <w:pStyle w:val="Heading1"/>
        <w:keepNext/>
        <w:spacing w:before="240" w:after="80"/>
      </w:pPr>
      <w:r>
        <w:t>4. Business Rule Failsafes &amp; Error Resolution Guide</w:t>
      </w:r>
    </w:p>
    <w:tbl>
      <w:tblPr>
        <w:tblW w:type="auto" w:w="0"/>
        <w:jc w:val="center"/>
        <w:tblLook w:firstColumn="1" w:firstRow="1" w:lastColumn="0" w:lastRow="0" w:noHBand="0" w:noVBand="1" w:val="04A0"/>
      </w:tblPr>
      <w:tblGrid>
        <w:gridCol w:w="3216"/>
        <w:gridCol w:w="3216"/>
        <w:gridCol w:w="3216"/>
      </w:tblGrid>
      <w:tr>
        <w:tc>
          <w:tcPr>
            <w:tcW w:type="dxa" w:w="3216"/>
            <w:shd w:fill="1F4E79"/>
            <w:tcMar>
              <w:top w:w="45" w:type="dxa"/>
              <w:bottom w:w="45" w:type="dxa"/>
              <w:left w:w="60" w:type="dxa"/>
              <w:right w:w="60" w:type="dxa"/>
            </w:tcMar>
          </w:tcPr>
          <w:p>
            <w:r>
              <w:rPr>
                <w:rFonts w:ascii="Calibri" w:hAnsi="Calibri"/>
                <w:b/>
                <w:color w:val="FFFFFF"/>
                <w:sz w:val="17"/>
              </w:rPr>
              <w:t>Error Message Encountered</w:t>
            </w:r>
          </w:p>
        </w:tc>
        <w:tc>
          <w:tcPr>
            <w:tcW w:type="dxa" w:w="3216"/>
            <w:shd w:fill="1F4E79"/>
            <w:tcMar>
              <w:top w:w="45" w:type="dxa"/>
              <w:bottom w:w="45" w:type="dxa"/>
              <w:left w:w="60" w:type="dxa"/>
              <w:right w:w="60" w:type="dxa"/>
            </w:tcMar>
          </w:tcPr>
          <w:p>
            <w:r>
              <w:rPr>
                <w:rFonts w:ascii="Calibri" w:hAnsi="Calibri"/>
                <w:b/>
                <w:color w:val="FFFFFF"/>
                <w:sz w:val="17"/>
              </w:rPr>
              <w:t>Underlying Cause</w:t>
            </w:r>
          </w:p>
        </w:tc>
        <w:tc>
          <w:tcPr>
            <w:tcW w:type="dxa" w:w="3216"/>
            <w:shd w:fill="1F4E79"/>
            <w:tcMar>
              <w:top w:w="45" w:type="dxa"/>
              <w:bottom w:w="45" w:type="dxa"/>
              <w:left w:w="60" w:type="dxa"/>
              <w:right w:w="60" w:type="dxa"/>
            </w:tcMar>
          </w:tcPr>
          <w:p>
            <w:r>
              <w:rPr>
                <w:rFonts w:ascii="Calibri" w:hAnsi="Calibri"/>
                <w:b/>
                <w:color w:val="FFFFFF"/>
                <w:sz w:val="17"/>
              </w:rPr>
              <w:t>Operator Corrective Action</w:t>
            </w:r>
          </w:p>
        </w:tc>
      </w:tr>
      <w:tr>
        <w:tc>
          <w:tcPr>
            <w:tcW w:type="dxa" w:w="3216"/>
            <w:shd w:fill="FFFFFF"/>
            <w:tcMar>
              <w:top w:w="35" w:type="dxa"/>
              <w:bottom w:w="35" w:type="dxa"/>
              <w:left w:w="50" w:type="dxa"/>
              <w:right w:w="50" w:type="dxa"/>
            </w:tcMar>
          </w:tcPr>
          <w:p>
            <w:pPr>
              <w:spacing w:after="0"/>
            </w:pPr>
            <w:r>
              <w:rPr>
                <w:rFonts w:ascii="Calibri" w:hAnsi="Calibri"/>
                <w:b/>
                <w:color w:val="B42828"/>
                <w:sz w:val="16"/>
              </w:rPr>
              <w:t>Expected Return Date cannot be before Loan Date</w:t>
            </w:r>
          </w:p>
        </w:tc>
        <w:tc>
          <w:tcPr>
            <w:tcW w:type="dxa" w:w="3216"/>
            <w:shd w:fill="FFFFFF"/>
            <w:tcMar>
              <w:top w:w="35" w:type="dxa"/>
              <w:bottom w:w="35" w:type="dxa"/>
              <w:left w:w="50" w:type="dxa"/>
              <w:right w:w="50" w:type="dxa"/>
            </w:tcMar>
          </w:tcPr>
          <w:p>
            <w:pPr>
              <w:spacing w:after="0"/>
            </w:pPr>
            <w:r>
              <w:rPr>
                <w:rFonts w:ascii="Calibri" w:hAnsi="Calibri"/>
                <w:sz w:val="16"/>
              </w:rPr>
              <w:t>User selected return date earlier than loan start date.</w:t>
            </w:r>
          </w:p>
        </w:tc>
        <w:tc>
          <w:tcPr>
            <w:tcW w:type="dxa" w:w="3216"/>
            <w:shd w:fill="FFFFFF"/>
            <w:tcMar>
              <w:top w:w="35" w:type="dxa"/>
              <w:bottom w:w="35" w:type="dxa"/>
              <w:left w:w="50" w:type="dxa"/>
              <w:right w:w="50" w:type="dxa"/>
            </w:tcMar>
          </w:tcPr>
          <w:p>
            <w:pPr>
              <w:spacing w:after="0"/>
            </w:pPr>
            <w:r>
              <w:rPr>
                <w:rFonts w:ascii="Calibri" w:hAnsi="Calibri"/>
                <w:sz w:val="16"/>
              </w:rPr>
              <w:t>Set Expected Return Date to same day or later than Loan Effective Date.</w:t>
            </w:r>
          </w:p>
        </w:tc>
      </w:tr>
      <w:tr>
        <w:tc>
          <w:tcPr>
            <w:tcW w:type="dxa" w:w="3216"/>
            <w:shd w:fill="F8FAFC"/>
            <w:tcMar>
              <w:top w:w="35" w:type="dxa"/>
              <w:bottom w:w="35" w:type="dxa"/>
              <w:left w:w="50" w:type="dxa"/>
              <w:right w:w="50" w:type="dxa"/>
            </w:tcMar>
          </w:tcPr>
          <w:p>
            <w:pPr>
              <w:spacing w:after="0"/>
            </w:pPr>
            <w:r>
              <w:rPr>
                <w:rFonts w:ascii="Calibri" w:hAnsi="Calibri"/>
                <w:b/>
                <w:color w:val="B42828"/>
                <w:sz w:val="16"/>
              </w:rPr>
              <w:t>Loan duration of X days exceeds maximum limit of 30 days</w:t>
            </w:r>
          </w:p>
        </w:tc>
        <w:tc>
          <w:tcPr>
            <w:tcW w:type="dxa" w:w="3216"/>
            <w:shd w:fill="F8FAFC"/>
            <w:tcMar>
              <w:top w:w="35" w:type="dxa"/>
              <w:bottom w:w="35" w:type="dxa"/>
              <w:left w:w="50" w:type="dxa"/>
              <w:right w:w="50" w:type="dxa"/>
            </w:tcMar>
          </w:tcPr>
          <w:p>
            <w:pPr>
              <w:spacing w:after="0"/>
            </w:pPr>
            <w:r>
              <w:rPr>
                <w:rFonts w:ascii="Calibri" w:hAnsi="Calibri"/>
                <w:sz w:val="16"/>
              </w:rPr>
              <w:t>Policy SLA breach: loan request exceeds 30-day corporate cap.</w:t>
            </w:r>
          </w:p>
        </w:tc>
        <w:tc>
          <w:tcPr>
            <w:tcW w:type="dxa" w:w="3216"/>
            <w:shd w:fill="F8FAFC"/>
            <w:tcMar>
              <w:top w:w="35" w:type="dxa"/>
              <w:bottom w:w="35" w:type="dxa"/>
              <w:left w:w="50" w:type="dxa"/>
              <w:right w:w="50" w:type="dxa"/>
            </w:tcMar>
          </w:tcPr>
          <w:p>
            <w:pPr>
              <w:spacing w:after="0"/>
            </w:pPr>
            <w:r>
              <w:rPr>
                <w:rFonts w:ascii="Calibri" w:hAnsi="Calibri"/>
                <w:sz w:val="16"/>
              </w:rPr>
              <w:t>Adjust return date within 30 days or obtain Department Head special waiver.</w:t>
            </w:r>
          </w:p>
        </w:tc>
      </w:tr>
      <w:tr>
        <w:tc>
          <w:tcPr>
            <w:tcW w:type="dxa" w:w="3216"/>
            <w:shd w:fill="FFFFFF"/>
            <w:tcMar>
              <w:top w:w="35" w:type="dxa"/>
              <w:bottom w:w="35" w:type="dxa"/>
              <w:left w:w="50" w:type="dxa"/>
              <w:right w:w="50" w:type="dxa"/>
            </w:tcMar>
          </w:tcPr>
          <w:p>
            <w:pPr>
              <w:spacing w:after="0"/>
            </w:pPr>
            <w:r>
              <w:rPr>
                <w:rFonts w:ascii="Calibri" w:hAnsi="Calibri"/>
                <w:b/>
                <w:color w:val="B42828"/>
                <w:sz w:val="16"/>
              </w:rPr>
              <w:t>Asset AST-XXXX is currently 'Loaned Out' and unavailable</w:t>
            </w:r>
          </w:p>
        </w:tc>
        <w:tc>
          <w:tcPr>
            <w:tcW w:type="dxa" w:w="3216"/>
            <w:shd w:fill="FFFFFF"/>
            <w:tcMar>
              <w:top w:w="35" w:type="dxa"/>
              <w:bottom w:w="35" w:type="dxa"/>
              <w:left w:w="50" w:type="dxa"/>
              <w:right w:w="50" w:type="dxa"/>
            </w:tcMar>
          </w:tcPr>
          <w:p>
            <w:pPr>
              <w:spacing w:after="0"/>
            </w:pPr>
            <w:r>
              <w:rPr>
                <w:rFonts w:ascii="Calibri" w:hAnsi="Calibri"/>
                <w:sz w:val="16"/>
              </w:rPr>
              <w:t>Asset is currently borrowed by another staff member.</w:t>
            </w:r>
          </w:p>
        </w:tc>
        <w:tc>
          <w:tcPr>
            <w:tcW w:type="dxa" w:w="3216"/>
            <w:shd w:fill="FFFFFF"/>
            <w:tcMar>
              <w:top w:w="35" w:type="dxa"/>
              <w:bottom w:w="35" w:type="dxa"/>
              <w:left w:w="50" w:type="dxa"/>
              <w:right w:w="50" w:type="dxa"/>
            </w:tcMar>
          </w:tcPr>
          <w:p>
            <w:pPr>
              <w:spacing w:after="0"/>
            </w:pPr>
            <w:r>
              <w:rPr>
                <w:rFonts w:ascii="Calibri" w:hAnsi="Calibri"/>
                <w:sz w:val="16"/>
              </w:rPr>
              <w:t>Select a different asset marked Available in the inventory catalog.</w:t>
            </w:r>
          </w:p>
        </w:tc>
      </w:tr>
      <w:tr>
        <w:tc>
          <w:tcPr>
            <w:tcW w:type="dxa" w:w="3216"/>
            <w:shd w:fill="F8FAFC"/>
            <w:tcMar>
              <w:top w:w="35" w:type="dxa"/>
              <w:bottom w:w="35" w:type="dxa"/>
              <w:left w:w="50" w:type="dxa"/>
              <w:right w:w="50" w:type="dxa"/>
            </w:tcMar>
          </w:tcPr>
          <w:p>
            <w:pPr>
              <w:spacing w:after="0"/>
            </w:pPr>
            <w:r>
              <w:rPr>
                <w:rFonts w:ascii="Calibri" w:hAnsi="Calibri"/>
                <w:b/>
                <w:color w:val="B42828"/>
                <w:sz w:val="16"/>
              </w:rPr>
              <w:t>Duplicate item AST-XXXX in loan table</w:t>
            </w:r>
          </w:p>
        </w:tc>
        <w:tc>
          <w:tcPr>
            <w:tcW w:type="dxa" w:w="3216"/>
            <w:shd w:fill="F8FAFC"/>
            <w:tcMar>
              <w:top w:w="35" w:type="dxa"/>
              <w:bottom w:w="35" w:type="dxa"/>
              <w:left w:w="50" w:type="dxa"/>
              <w:right w:w="50" w:type="dxa"/>
            </w:tcMar>
          </w:tcPr>
          <w:p>
            <w:pPr>
              <w:spacing w:after="0"/>
            </w:pPr>
            <w:r>
              <w:rPr>
                <w:rFonts w:ascii="Calibri" w:hAnsi="Calibri"/>
                <w:sz w:val="16"/>
              </w:rPr>
              <w:t>The same hardware serial was added twice in child table.</w:t>
            </w:r>
          </w:p>
        </w:tc>
        <w:tc>
          <w:tcPr>
            <w:tcW w:type="dxa" w:w="3216"/>
            <w:shd w:fill="F8FAFC"/>
            <w:tcMar>
              <w:top w:w="35" w:type="dxa"/>
              <w:bottom w:w="35" w:type="dxa"/>
              <w:left w:w="50" w:type="dxa"/>
              <w:right w:w="50" w:type="dxa"/>
            </w:tcMar>
          </w:tcPr>
          <w:p>
            <w:pPr>
              <w:spacing w:after="0"/>
            </w:pPr>
            <w:r>
              <w:rPr>
                <w:rFonts w:ascii="Calibri" w:hAnsi="Calibri"/>
                <w:sz w:val="16"/>
              </w:rPr>
              <w:t>Delete duplicate row using trash can icon.</w:t>
            </w:r>
          </w:p>
        </w:tc>
      </w:tr>
      <w:tr>
        <w:tc>
          <w:tcPr>
            <w:tcW w:type="dxa" w:w="3216"/>
            <w:shd w:fill="FFFFFF"/>
            <w:tcMar>
              <w:top w:w="35" w:type="dxa"/>
              <w:bottom w:w="35" w:type="dxa"/>
              <w:left w:w="50" w:type="dxa"/>
              <w:right w:w="50" w:type="dxa"/>
            </w:tcMar>
          </w:tcPr>
          <w:p>
            <w:pPr>
              <w:spacing w:after="0"/>
            </w:pPr>
            <w:r>
              <w:rPr>
                <w:rFonts w:ascii="Calibri" w:hAnsi="Calibri"/>
                <w:b/>
                <w:color w:val="B42828"/>
                <w:sz w:val="16"/>
              </w:rPr>
              <w:t>Borrower EMP-XXXX has overdue equipment loan (LOAN-XXXX)</w:t>
            </w:r>
          </w:p>
        </w:tc>
        <w:tc>
          <w:tcPr>
            <w:tcW w:type="dxa" w:w="3216"/>
            <w:shd w:fill="FFFFFF"/>
            <w:tcMar>
              <w:top w:w="35" w:type="dxa"/>
              <w:bottom w:w="35" w:type="dxa"/>
              <w:left w:w="50" w:type="dxa"/>
              <w:right w:w="50" w:type="dxa"/>
            </w:tcMar>
          </w:tcPr>
          <w:p>
            <w:pPr>
              <w:spacing w:after="0"/>
            </w:pPr>
            <w:r>
              <w:rPr>
                <w:rFonts w:ascii="Calibri" w:hAnsi="Calibri"/>
                <w:sz w:val="16"/>
              </w:rPr>
              <w:t>Borrower has an unreturned loan past due date.</w:t>
            </w:r>
          </w:p>
        </w:tc>
        <w:tc>
          <w:tcPr>
            <w:tcW w:type="dxa" w:w="3216"/>
            <w:shd w:fill="FFFFFF"/>
            <w:tcMar>
              <w:top w:w="35" w:type="dxa"/>
              <w:bottom w:w="35" w:type="dxa"/>
              <w:left w:w="50" w:type="dxa"/>
              <w:right w:w="50" w:type="dxa"/>
            </w:tcMar>
          </w:tcPr>
          <w:p>
            <w:pPr>
              <w:spacing w:after="0"/>
            </w:pPr>
            <w:r>
              <w:rPr>
                <w:rFonts w:ascii="Calibri" w:hAnsi="Calibri"/>
                <w:sz w:val="16"/>
              </w:rPr>
              <w:t>STRICT LOCKOUT: Borrower must return overdue hardware before new loans can be issued.</w:t>
            </w:r>
          </w:p>
        </w:tc>
      </w:tr>
      <w:tr>
        <w:tc>
          <w:tcPr>
            <w:tcW w:type="dxa" w:w="3216"/>
            <w:shd w:fill="F8FAFC"/>
            <w:tcMar>
              <w:top w:w="35" w:type="dxa"/>
              <w:bottom w:w="35" w:type="dxa"/>
              <w:left w:w="50" w:type="dxa"/>
              <w:right w:w="50" w:type="dxa"/>
            </w:tcMar>
          </w:tcPr>
          <w:p>
            <w:pPr>
              <w:spacing w:after="0"/>
            </w:pPr>
            <w:r>
              <w:rPr>
                <w:rFonts w:ascii="Calibri" w:hAnsi="Calibri"/>
                <w:b/>
                <w:color w:val="B42828"/>
                <w:sz w:val="16"/>
              </w:rPr>
              <w:t>At least one hardware item must be added to the loan</w:t>
            </w:r>
          </w:p>
        </w:tc>
        <w:tc>
          <w:tcPr>
            <w:tcW w:type="dxa" w:w="3216"/>
            <w:shd w:fill="F8FAFC"/>
            <w:tcMar>
              <w:top w:w="35" w:type="dxa"/>
              <w:bottom w:w="35" w:type="dxa"/>
              <w:left w:w="50" w:type="dxa"/>
              <w:right w:w="50" w:type="dxa"/>
            </w:tcMar>
          </w:tcPr>
          <w:p>
            <w:pPr>
              <w:spacing w:after="0"/>
            </w:pPr>
            <w:r>
              <w:rPr>
                <w:rFonts w:ascii="Calibri" w:hAnsi="Calibri"/>
                <w:sz w:val="16"/>
              </w:rPr>
              <w:t>User attempted to submit a loan with zero items.</w:t>
            </w:r>
          </w:p>
        </w:tc>
        <w:tc>
          <w:tcPr>
            <w:tcW w:type="dxa" w:w="3216"/>
            <w:shd w:fill="F8FAFC"/>
            <w:tcMar>
              <w:top w:w="35" w:type="dxa"/>
              <w:bottom w:w="35" w:type="dxa"/>
              <w:left w:w="50" w:type="dxa"/>
              <w:right w:w="50" w:type="dxa"/>
            </w:tcMar>
          </w:tcPr>
          <w:p>
            <w:pPr>
              <w:spacing w:after="0"/>
            </w:pPr>
            <w:r>
              <w:rPr>
                <w:rFonts w:ascii="Calibri" w:hAnsi="Calibri"/>
                <w:sz w:val="16"/>
              </w:rPr>
              <w:t>Click 'Add Row' and assign at least one hardware asset.</w:t>
            </w:r>
          </w:p>
        </w:tc>
      </w:tr>
    </w:tbl>
    <w:p>
      <w:pPr>
        <w:spacing w:after="160"/>
      </w:pPr>
    </w:p>
    <w:p>
      <w:pPr>
        <w:pStyle w:val="Heading1"/>
        <w:keepNext/>
        <w:spacing w:before="240" w:after="80"/>
      </w:pPr>
      <w:r>
        <w:t>5. Automated REST API Reference for Technicians</w:t>
      </w:r>
    </w:p>
    <w:p>
      <w:pPr>
        <w:spacing w:after="80"/>
      </w:pPr>
      <w:r>
        <w:t>For barcode scanning stations, automated locker check-ins, or IT ticketing systems:</w:t>
        <w:br/>
        <w:t>Endpoint: POST /api/method/test_project.api.loan_api.process_return</w:t>
        <w:br/>
        <w:t>Rate Limit: 30 requests / minute  |  Authentication: Token &lt;api_key&gt;:&lt;api_secret&gt;</w:t>
      </w:r>
    </w:p>
    <w:tbl>
      <w:tblPr>
        <w:tblW w:type="auto" w:w="0"/>
        <w:jc w:val="center"/>
        <w:tblLook w:firstColumn="1" w:firstRow="1" w:lastColumn="0" w:lastRow="0" w:noHBand="0" w:noVBand="1" w:val="04A0"/>
      </w:tblPr>
      <w:tblGrid>
        <w:gridCol w:w="9648"/>
      </w:tblGrid>
      <w:tr>
        <w:tc>
          <w:tcPr>
            <w:tcW w:type="dxa" w:w="9648"/>
            <w:shd w:fill="F4F5F7"/>
            <w:tcMar>
              <w:top w:w="70" w:type="dxa"/>
              <w:bottom w:w="70" w:type="dxa"/>
              <w:left w:w="120" w:type="dxa"/>
              <w:right w:w="120" w:type="dxa"/>
            </w:tcMar>
          </w:tcPr>
          <w:p>
            <w:pPr>
              <w:spacing w:before="40" w:after="40"/>
            </w:pPr>
            <w:r>
              <w:rPr>
                <w:rFonts w:ascii="Consolas" w:hAnsi="Consolas"/>
                <w:color w:val="24292E"/>
                <w:sz w:val="17"/>
              </w:rPr>
              <w:t>{</w:t>
              <w:br/>
              <w:t xml:space="preserve">  "loan_id": "LOAN-2026-00042",</w:t>
              <w:br/>
              <w:t xml:space="preserve">  "actual_return_date": "2026-09-22",</w:t>
              <w:br/>
              <w:t xml:space="preserve">  "return_notes": "Returned via automated locker. All diagnostics passed."</w:t>
              <w:br/>
              <w:t>}</w:t>
            </w:r>
          </w:p>
        </w:tc>
      </w:tr>
    </w:tbl>
    <w:p>
      <w:pPr>
        <w:spacing w:after="80"/>
      </w:pPr>
    </w:p>
    <w:sectPr w:rsidR="00FC693F" w:rsidRPr="0006063C" w:rsidSect="00034616">
      <w:headerReference w:type="default" r:id="rId9"/>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Document ID: SOP-OPS-ITAM-2026-001  |  Version 1.0.0  |  Corporate IT Standard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WORKING STANDARD OPERATING PROCEDURE  |  IT EQUIPMENT LOAN &amp; RETURN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80808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808080"/>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