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1F4E79"/>
          <w:sz w:val="48"/>
        </w:rPr>
        <w:t>STANDARD OPERATING PROCEDURE (SOP)</w:t>
      </w:r>
    </w:p>
    <w:p>
      <w:pPr>
        <w:spacing w:after="280"/>
        <w:jc w:val="center"/>
      </w:pPr>
      <w:r>
        <w:rPr>
          <w:rFonts w:ascii="Calibri" w:hAnsi="Calibri"/>
          <w:color w:val="595959"/>
          <w:sz w:val="28"/>
        </w:rPr>
        <w:t>Engineering Coordination Center for Frappe Framework &amp; ERPNext (Frappe ECC)</w:t>
      </w:r>
    </w:p>
    <w:tbl>
      <w:tblPr>
        <w:tblW w:type="auto" w:w="0"/>
        <w:jc w:val="center"/>
        <w:tblLook w:firstColumn="1" w:firstRow="1" w:lastColumn="0" w:lastRow="0" w:noHBand="0" w:noVBand="1" w:val="04A0"/>
      </w:tblPr>
      <w:tblGrid>
        <w:gridCol w:w="4680"/>
        <w:gridCol w:w="4680"/>
      </w:tblGrid>
      <w:tr>
        <w:tc>
          <w:tcPr>
            <w:tcW w:type="dxa" w:w="2880"/>
            <w:shd w:fill="E9EEF4"/>
            <w:tcMar>
              <w:top w:w="60" w:type="dxa"/>
              <w:bottom w:w="60" w:type="dxa"/>
              <w:left w:w="100" w:type="dxa"/>
              <w:right w:w="100" w:type="dxa"/>
            </w:tcMar>
          </w:tcPr>
          <w:p>
            <w:pPr>
              <w:spacing w:after="0"/>
            </w:pPr>
            <w:r>
              <w:rPr>
                <w:rFonts w:ascii="Calibri" w:hAnsi="Calibri"/>
                <w:b/>
                <w:sz w:val="19"/>
              </w:rPr>
              <w:t>Document ID</w:t>
            </w:r>
          </w:p>
        </w:tc>
        <w:tc>
          <w:tcPr>
            <w:tcW w:type="dxa" w:w="6480"/>
            <w:tcMar>
              <w:top w:w="60" w:type="dxa"/>
              <w:bottom w:w="60" w:type="dxa"/>
              <w:left w:w="100" w:type="dxa"/>
              <w:right w:w="100" w:type="dxa"/>
            </w:tcMar>
          </w:tcPr>
          <w:p>
            <w:pPr>
              <w:spacing w:after="0"/>
            </w:pPr>
            <w:r>
              <w:rPr>
                <w:rFonts w:ascii="Calibri" w:hAnsi="Calibri"/>
                <w:sz w:val="19"/>
              </w:rPr>
              <w:t>SOP-ENG-FRAPPE-ECC-001</w:t>
            </w:r>
          </w:p>
        </w:tc>
      </w:tr>
      <w:tr>
        <w:tc>
          <w:tcPr>
            <w:tcW w:type="dxa" w:w="2880"/>
            <w:shd w:fill="E9EEF4"/>
            <w:tcMar>
              <w:top w:w="60" w:type="dxa"/>
              <w:bottom w:w="60" w:type="dxa"/>
              <w:left w:w="100" w:type="dxa"/>
              <w:right w:w="100" w:type="dxa"/>
            </w:tcMar>
          </w:tcPr>
          <w:p>
            <w:pPr>
              <w:spacing w:after="0"/>
            </w:pPr>
            <w:r>
              <w:rPr>
                <w:rFonts w:ascii="Calibri" w:hAnsi="Calibri"/>
                <w:b/>
                <w:sz w:val="19"/>
              </w:rPr>
              <w:t>Version &amp; Release</w:t>
            </w:r>
          </w:p>
        </w:tc>
        <w:tc>
          <w:tcPr>
            <w:tcW w:type="dxa" w:w="6480"/>
            <w:tcMar>
              <w:top w:w="60" w:type="dxa"/>
              <w:bottom w:w="60" w:type="dxa"/>
              <w:left w:w="100" w:type="dxa"/>
              <w:right w:w="100" w:type="dxa"/>
            </w:tcMar>
          </w:tcPr>
          <w:p>
            <w:pPr>
              <w:spacing w:after="0"/>
            </w:pPr>
            <w:r>
              <w:rPr>
                <w:rFonts w:ascii="Calibri" w:hAnsi="Calibri"/>
                <w:sz w:val="19"/>
              </w:rPr>
              <w:t>Version 1.0.0 (Production Release)</w:t>
            </w:r>
          </w:p>
        </w:tc>
      </w:tr>
      <w:tr>
        <w:tc>
          <w:tcPr>
            <w:tcW w:type="dxa" w:w="2880"/>
            <w:shd w:fill="E9EEF4"/>
            <w:tcMar>
              <w:top w:w="60" w:type="dxa"/>
              <w:bottom w:w="60" w:type="dxa"/>
              <w:left w:w="100" w:type="dxa"/>
              <w:right w:w="100" w:type="dxa"/>
            </w:tcMar>
          </w:tcPr>
          <w:p>
            <w:pPr>
              <w:spacing w:after="0"/>
            </w:pPr>
            <w:r>
              <w:rPr>
                <w:rFonts w:ascii="Calibri" w:hAnsi="Calibri"/>
                <w:b/>
                <w:sz w:val="19"/>
              </w:rPr>
              <w:t>Effective Date</w:t>
            </w:r>
          </w:p>
        </w:tc>
        <w:tc>
          <w:tcPr>
            <w:tcW w:type="dxa" w:w="6480"/>
            <w:tcMar>
              <w:top w:w="60" w:type="dxa"/>
              <w:bottom w:w="60" w:type="dxa"/>
              <w:left w:w="100" w:type="dxa"/>
              <w:right w:w="100" w:type="dxa"/>
            </w:tcMar>
          </w:tcPr>
          <w:p>
            <w:pPr>
              <w:spacing w:after="0"/>
            </w:pPr>
            <w:r>
              <w:rPr>
                <w:rFonts w:ascii="Calibri" w:hAnsi="Calibri"/>
                <w:sz w:val="19"/>
              </w:rPr>
              <w:t>2026-09-18</w:t>
            </w:r>
          </w:p>
        </w:tc>
      </w:tr>
      <w:tr>
        <w:tc>
          <w:tcPr>
            <w:tcW w:type="dxa" w:w="2880"/>
            <w:shd w:fill="E9EEF4"/>
            <w:tcMar>
              <w:top w:w="60" w:type="dxa"/>
              <w:bottom w:w="60" w:type="dxa"/>
              <w:left w:w="100" w:type="dxa"/>
              <w:right w:w="100" w:type="dxa"/>
            </w:tcMar>
          </w:tcPr>
          <w:p>
            <w:pPr>
              <w:spacing w:after="0"/>
            </w:pPr>
            <w:r>
              <w:rPr>
                <w:rFonts w:ascii="Calibri" w:hAnsi="Calibri"/>
                <w:b/>
                <w:sz w:val="19"/>
              </w:rPr>
              <w:t>Applicability</w:t>
            </w:r>
          </w:p>
        </w:tc>
        <w:tc>
          <w:tcPr>
            <w:tcW w:type="dxa" w:w="6480"/>
            <w:tcMar>
              <w:top w:w="60" w:type="dxa"/>
              <w:bottom w:w="60" w:type="dxa"/>
              <w:left w:w="100" w:type="dxa"/>
              <w:right w:w="100" w:type="dxa"/>
            </w:tcMar>
          </w:tcPr>
          <w:p>
            <w:pPr>
              <w:spacing w:after="0"/>
            </w:pPr>
            <w:r>
              <w:rPr>
                <w:rFonts w:ascii="Calibri" w:hAnsi="Calibri"/>
                <w:sz w:val="19"/>
              </w:rPr>
              <w:t>Frappe v14 / v15 / v16, ERPNext, Antigravity, Claude Code, Cursor</w:t>
            </w:r>
          </w:p>
        </w:tc>
      </w:tr>
    </w:tbl>
    <w:p>
      <w:pPr>
        <w:spacing w:after="240"/>
      </w:pPr>
    </w:p>
    <w:p>
      <w:pPr>
        <w:pStyle w:val="Heading1"/>
        <w:keepNext/>
        <w:spacing w:before="280" w:after="80"/>
      </w:pPr>
      <w:r>
        <w:t>1. Purpose &amp; Scope</w:t>
      </w:r>
    </w:p>
    <w:p>
      <w:pPr>
        <w:spacing w:after="120"/>
      </w:pPr>
      <w:r>
        <w:t>This Standard Operating Procedure defines the mandatory engineering practices, execution phases, and automated quality controls for building, testing, and securing Frappe Framework applications using Frappe ECC. Frappe ECC turns your AI coding assistant (Antigravity, Claude Code, Cursor, Codex) into a fully coordinated engineering system equipped with 12 specialized agents, 14 production workflow skills, 13 slash commands, and Frappe Shield.</w:t>
      </w:r>
    </w:p>
    <w:p>
      <w:pPr>
        <w:pStyle w:val="Heading1"/>
        <w:keepNext/>
        <w:spacing w:before="280" w:after="80"/>
      </w:pPr>
      <w:r>
        <w:t>2. System Architecture &amp; Component Inventory</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80" w:type="dxa"/>
              <w:bottom w:w="80" w:type="dxa"/>
              <w:left w:w="100" w:type="dxa"/>
              <w:right w:w="100" w:type="dxa"/>
            </w:tcMar>
          </w:tcPr>
          <w:p>
            <w:r>
              <w:rPr>
                <w:rFonts w:ascii="Calibri" w:hAnsi="Calibri"/>
                <w:b/>
                <w:color w:val="FFFFFF"/>
                <w:sz w:val="20"/>
              </w:rPr>
              <w:t>Component Layer</w:t>
            </w:r>
          </w:p>
        </w:tc>
        <w:tc>
          <w:tcPr>
            <w:tcW w:type="dxa" w:w="3120"/>
            <w:shd w:fill="1F4E79"/>
            <w:tcMar>
              <w:top w:w="80" w:type="dxa"/>
              <w:bottom w:w="80" w:type="dxa"/>
              <w:left w:w="100" w:type="dxa"/>
              <w:right w:w="100" w:type="dxa"/>
            </w:tcMar>
          </w:tcPr>
          <w:p>
            <w:r>
              <w:rPr>
                <w:rFonts w:ascii="Calibri" w:hAnsi="Calibri"/>
                <w:b/>
                <w:color w:val="FFFFFF"/>
                <w:sz w:val="20"/>
              </w:rPr>
              <w:t>Count</w:t>
            </w:r>
          </w:p>
        </w:tc>
        <w:tc>
          <w:tcPr>
            <w:tcW w:type="dxa" w:w="3120"/>
            <w:shd w:fill="1F4E79"/>
            <w:tcMar>
              <w:top w:w="80" w:type="dxa"/>
              <w:bottom w:w="80" w:type="dxa"/>
              <w:left w:w="100" w:type="dxa"/>
              <w:right w:w="100" w:type="dxa"/>
            </w:tcMar>
          </w:tcPr>
          <w:p>
            <w:r>
              <w:rPr>
                <w:rFonts w:ascii="Calibri" w:hAnsi="Calibri"/>
                <w:b/>
                <w:color w:val="FFFFFF"/>
                <w:sz w:val="20"/>
              </w:rPr>
              <w:t>Core Responsibilities</w:t>
            </w:r>
          </w:p>
        </w:tc>
      </w:tr>
      <w:tr>
        <w:tc>
          <w:tcPr>
            <w:tcW w:type="dxa" w:w="3120"/>
            <w:shd w:fill="FFFFFF"/>
            <w:tcMar>
              <w:top w:w="60" w:type="dxa"/>
              <w:bottom w:w="60" w:type="dxa"/>
              <w:left w:w="100" w:type="dxa"/>
              <w:right w:w="100" w:type="dxa"/>
            </w:tcMar>
          </w:tcPr>
          <w:p>
            <w:r>
              <w:rPr>
                <w:rFonts w:ascii="Calibri" w:hAnsi="Calibri"/>
                <w:b/>
                <w:sz w:val="19"/>
              </w:rPr>
              <w:t>Specialist AI Agents</w:t>
            </w:r>
          </w:p>
        </w:tc>
        <w:tc>
          <w:tcPr>
            <w:tcW w:type="dxa" w:w="3120"/>
            <w:shd w:fill="FFFFFF"/>
            <w:tcMar>
              <w:top w:w="60" w:type="dxa"/>
              <w:bottom w:w="60" w:type="dxa"/>
              <w:left w:w="100" w:type="dxa"/>
              <w:right w:w="100" w:type="dxa"/>
            </w:tcMar>
          </w:tcPr>
          <w:p>
            <w:r>
              <w:rPr>
                <w:rFonts w:ascii="Calibri" w:hAnsi="Calibri"/>
                <w:sz w:val="19"/>
              </w:rPr>
              <w:t>12</w:t>
            </w:r>
          </w:p>
        </w:tc>
        <w:tc>
          <w:tcPr>
            <w:tcW w:type="dxa" w:w="3120"/>
            <w:shd w:fill="FFFFFF"/>
            <w:tcMar>
              <w:top w:w="60" w:type="dxa"/>
              <w:bottom w:w="60" w:type="dxa"/>
              <w:left w:w="100" w:type="dxa"/>
              <w:right w:w="100" w:type="dxa"/>
            </w:tcMar>
          </w:tcPr>
          <w:p>
            <w:r>
              <w:rPr>
                <w:rFonts w:ascii="Calibri" w:hAnsi="Calibri"/>
                <w:sz w:val="19"/>
              </w:rPr>
              <w:t>Planner, Architect, Controller Builder, Desk UI Builder, TDD Guide, Code Reviewer, Security Reviewer, Bench DevOps, Migration Patcher, Report Builder, API Integrator, Doc Updater</w:t>
            </w:r>
          </w:p>
        </w:tc>
      </w:tr>
      <w:tr>
        <w:tc>
          <w:tcPr>
            <w:tcW w:type="dxa" w:w="3120"/>
            <w:shd w:fill="F9FAFC"/>
            <w:tcMar>
              <w:top w:w="60" w:type="dxa"/>
              <w:bottom w:w="60" w:type="dxa"/>
              <w:left w:w="100" w:type="dxa"/>
              <w:right w:w="100" w:type="dxa"/>
            </w:tcMar>
          </w:tcPr>
          <w:p>
            <w:r>
              <w:rPr>
                <w:rFonts w:ascii="Calibri" w:hAnsi="Calibri"/>
                <w:b/>
                <w:sz w:val="19"/>
              </w:rPr>
              <w:t>Workflow Skills</w:t>
            </w:r>
          </w:p>
        </w:tc>
        <w:tc>
          <w:tcPr>
            <w:tcW w:type="dxa" w:w="3120"/>
            <w:shd w:fill="F9FAFC"/>
            <w:tcMar>
              <w:top w:w="60" w:type="dxa"/>
              <w:bottom w:w="60" w:type="dxa"/>
              <w:left w:w="100" w:type="dxa"/>
              <w:right w:w="100" w:type="dxa"/>
            </w:tcMar>
          </w:tcPr>
          <w:p>
            <w:r>
              <w:rPr>
                <w:rFonts w:ascii="Calibri" w:hAnsi="Calibri"/>
                <w:sz w:val="19"/>
              </w:rPr>
              <w:t>14</w:t>
            </w:r>
          </w:p>
        </w:tc>
        <w:tc>
          <w:tcPr>
            <w:tcW w:type="dxa" w:w="3120"/>
            <w:shd w:fill="F9FAFC"/>
            <w:tcMar>
              <w:top w:w="60" w:type="dxa"/>
              <w:bottom w:w="60" w:type="dxa"/>
              <w:left w:w="100" w:type="dxa"/>
              <w:right w:w="100" w:type="dxa"/>
            </w:tcMar>
          </w:tcPr>
          <w:p>
            <w:r>
              <w:rPr>
                <w:rFonts w:ascii="Calibri" w:hAnsi="Calibri"/>
                <w:sz w:val="19"/>
              </w:rPr>
              <w:t>DocType modeling, QueryBuilder/ORM, hooks.py, Desk Client Scripts, REST API, Permissions, TDD with FrappeTestCase, RQ background jobs, Script Reports, Patches, Bench CLI, Frappe UI, Web Portal, Security Audit</w:t>
            </w:r>
          </w:p>
        </w:tc>
      </w:tr>
      <w:tr>
        <w:tc>
          <w:tcPr>
            <w:tcW w:type="dxa" w:w="3120"/>
            <w:shd w:fill="FFFFFF"/>
            <w:tcMar>
              <w:top w:w="60" w:type="dxa"/>
              <w:bottom w:w="60" w:type="dxa"/>
              <w:left w:w="100" w:type="dxa"/>
              <w:right w:w="100" w:type="dxa"/>
            </w:tcMar>
          </w:tcPr>
          <w:p>
            <w:r>
              <w:rPr>
                <w:rFonts w:ascii="Calibri" w:hAnsi="Calibri"/>
                <w:b/>
                <w:sz w:val="19"/>
              </w:rPr>
              <w:t>Slash Commands</w:t>
            </w:r>
          </w:p>
        </w:tc>
        <w:tc>
          <w:tcPr>
            <w:tcW w:type="dxa" w:w="3120"/>
            <w:shd w:fill="FFFFFF"/>
            <w:tcMar>
              <w:top w:w="60" w:type="dxa"/>
              <w:bottom w:w="60" w:type="dxa"/>
              <w:left w:w="100" w:type="dxa"/>
              <w:right w:w="100" w:type="dxa"/>
            </w:tcMar>
          </w:tcPr>
          <w:p>
            <w:r>
              <w:rPr>
                <w:rFonts w:ascii="Calibri" w:hAnsi="Calibri"/>
                <w:sz w:val="19"/>
              </w:rPr>
              <w:t>13</w:t>
            </w:r>
          </w:p>
        </w:tc>
        <w:tc>
          <w:tcPr>
            <w:tcW w:type="dxa" w:w="3120"/>
            <w:shd w:fill="FFFFFF"/>
            <w:tcMar>
              <w:top w:w="60" w:type="dxa"/>
              <w:bottom w:w="60" w:type="dxa"/>
              <w:left w:w="100" w:type="dxa"/>
              <w:right w:w="100" w:type="dxa"/>
            </w:tcMar>
          </w:tcPr>
          <w:p>
            <w:r>
              <w:rPr>
                <w:rFonts w:ascii="Calibri" w:hAnsi="Calibri"/>
                <w:sz w:val="19"/>
              </w:rPr>
              <w:t>Quick entry points: /frappe:plan, /frappe:doctype, /frappe:controller, /frappe:client-script, /frappe:hook, /frappe:api, /frappe:test, /frappe:review, /frappe:security, /frappe:patch, /frappe:report, /frappe:bench, /frappe:help</w:t>
            </w:r>
          </w:p>
        </w:tc>
      </w:tr>
      <w:tr>
        <w:tc>
          <w:tcPr>
            <w:tcW w:type="dxa" w:w="3120"/>
            <w:shd w:fill="F9FAFC"/>
            <w:tcMar>
              <w:top w:w="60" w:type="dxa"/>
              <w:bottom w:w="60" w:type="dxa"/>
              <w:left w:w="100" w:type="dxa"/>
              <w:right w:w="100" w:type="dxa"/>
            </w:tcMar>
          </w:tcPr>
          <w:p>
            <w:r>
              <w:rPr>
                <w:rFonts w:ascii="Calibri" w:hAnsi="Calibri"/>
                <w:b/>
                <w:sz w:val="19"/>
              </w:rPr>
              <w:t>Coding Rules</w:t>
            </w:r>
          </w:p>
        </w:tc>
        <w:tc>
          <w:tcPr>
            <w:tcW w:type="dxa" w:w="3120"/>
            <w:shd w:fill="F9FAFC"/>
            <w:tcMar>
              <w:top w:w="60" w:type="dxa"/>
              <w:bottom w:w="60" w:type="dxa"/>
              <w:left w:w="100" w:type="dxa"/>
              <w:right w:w="100" w:type="dxa"/>
            </w:tcMar>
          </w:tcPr>
          <w:p>
            <w:r>
              <w:rPr>
                <w:rFonts w:ascii="Calibri" w:hAnsi="Calibri"/>
                <w:sz w:val="19"/>
              </w:rPr>
              <w:t>5</w:t>
            </w:r>
          </w:p>
        </w:tc>
        <w:tc>
          <w:tcPr>
            <w:tcW w:type="dxa" w:w="3120"/>
            <w:shd w:fill="F9FAFC"/>
            <w:tcMar>
              <w:top w:w="60" w:type="dxa"/>
              <w:bottom w:w="60" w:type="dxa"/>
              <w:left w:w="100" w:type="dxa"/>
              <w:right w:w="100" w:type="dxa"/>
            </w:tcMar>
          </w:tcPr>
          <w:p>
            <w:r>
              <w:rPr>
                <w:rFonts w:ascii="Calibri" w:hAnsi="Calibri"/>
                <w:sz w:val="19"/>
              </w:rPr>
              <w:t>Always-loaded standards: Core architecture, Python backend, Desk JS, Security/Permissions, and MariaDB/PostgreSQL database optimization</w:t>
            </w:r>
          </w:p>
        </w:tc>
      </w:tr>
      <w:tr>
        <w:tc>
          <w:tcPr>
            <w:tcW w:type="dxa" w:w="3120"/>
            <w:shd w:fill="FFFFFF"/>
            <w:tcMar>
              <w:top w:w="60" w:type="dxa"/>
              <w:bottom w:w="60" w:type="dxa"/>
              <w:left w:w="100" w:type="dxa"/>
              <w:right w:w="100" w:type="dxa"/>
            </w:tcMar>
          </w:tcPr>
          <w:p>
            <w:r>
              <w:rPr>
                <w:rFonts w:ascii="Calibri" w:hAnsi="Calibri"/>
                <w:b/>
                <w:sz w:val="19"/>
              </w:rPr>
              <w:t>Frappe Shield</w:t>
            </w:r>
          </w:p>
        </w:tc>
        <w:tc>
          <w:tcPr>
            <w:tcW w:type="dxa" w:w="3120"/>
            <w:shd w:fill="FFFFFF"/>
            <w:tcMar>
              <w:top w:w="60" w:type="dxa"/>
              <w:bottom w:w="60" w:type="dxa"/>
              <w:left w:w="100" w:type="dxa"/>
              <w:right w:w="100" w:type="dxa"/>
            </w:tcMar>
          </w:tcPr>
          <w:p>
            <w:r>
              <w:rPr>
                <w:rFonts w:ascii="Calibri" w:hAnsi="Calibri"/>
                <w:sz w:val="19"/>
              </w:rPr>
              <w:t>1 CLI</w:t>
            </w:r>
          </w:p>
        </w:tc>
        <w:tc>
          <w:tcPr>
            <w:tcW w:type="dxa" w:w="3120"/>
            <w:shd w:fill="FFFFFF"/>
            <w:tcMar>
              <w:top w:w="60" w:type="dxa"/>
              <w:bottom w:w="60" w:type="dxa"/>
              <w:left w:w="100" w:type="dxa"/>
              <w:right w:w="100" w:type="dxa"/>
            </w:tcMar>
          </w:tcPr>
          <w:p>
            <w:r>
              <w:rPr>
                <w:rFonts w:ascii="Calibri" w:hAnsi="Calibri"/>
                <w:sz w:val="19"/>
              </w:rPr>
              <w:t>AST-based static analyzer detecting SQL injection in frappe.db.sql, db.commit() transaction violations, unvalidated guest endpoints, and N+1 query bottlenecks</w:t>
            </w:r>
          </w:p>
        </w:tc>
      </w:tr>
    </w:tbl>
    <w:p>
      <w:pPr>
        <w:spacing w:after="160"/>
      </w:pPr>
    </w:p>
    <w:p>
      <w:pPr>
        <w:pStyle w:val="Heading1"/>
        <w:keepNext/>
        <w:spacing w:before="280" w:after="80"/>
      </w:pPr>
      <w:r>
        <w:t>3. Installation &amp; Verification Procedure</w:t>
      </w:r>
    </w:p>
    <w:p>
      <w:r>
        <w:t>Follow these exact commands to install Frappe ECC into your code editor:</w:t>
      </w:r>
    </w:p>
    <w:tbl>
      <w:tblPr>
        <w:tblW w:type="auto" w:w="0"/>
        <w:jc w:val="center"/>
        <w:tblLook w:firstColumn="1" w:firstRow="1" w:lastColumn="0" w:lastRow="0" w:noHBand="0" w:noVBand="1" w:val="04A0"/>
      </w:tblPr>
      <w:tblGrid>
        <w:gridCol w:w="9360"/>
      </w:tblGrid>
      <w:tr>
        <w:tc>
          <w:tcPr>
            <w:tcW w:type="dxa" w:w="9360"/>
            <w:tcMar>
              <w:top w:w="120" w:type="dxa"/>
              <w:bottom w:w="120" w:type="dxa"/>
              <w:left w:w="200" w:type="dxa"/>
              <w:right w:w="200" w:type="dxa"/>
            </w:tcMar>
            <w:shd w:fill="EDF7ED"/>
            <w:tcBorders>
              <w:left w:val="single" w:sz="24" w:space="0" w:color="107C41"/>
              <w:top w:val="none"/>
              <w:right w:val="none"/>
              <w:bottom w:val="none"/>
            </w:tcBorders>
          </w:tcPr>
          <w:p>
            <w:pPr>
              <w:spacing w:before="40" w:after="40"/>
            </w:pPr>
            <w:r>
              <w:rPr>
                <w:rFonts w:ascii="Calibri" w:hAnsi="Calibri"/>
                <w:b/>
                <w:color w:val="107C41"/>
                <w:sz w:val="21"/>
              </w:rPr>
              <w:t xml:space="preserve">[RECOMMENDED SETUP] </w:t>
            </w:r>
            <w:r>
              <w:rPr>
                <w:rFonts w:ascii="Calibri" w:hAnsi="Calibri"/>
                <w:sz w:val="20"/>
              </w:rPr>
              <w:t>Antigravity installation automatically registers skills into your global config directory so the AI assistant recognizes all Frappe paradigms across every project.</w:t>
            </w:r>
          </w:p>
        </w:tc>
      </w:tr>
    </w:tbl>
    <w:p>
      <w:pPr>
        <w:spacing w:after="80"/>
      </w:pPr>
    </w:p>
    <w:p>
      <w:r>
        <w:t>Command for Linux / macOS / WSL:</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80" w:type="dxa"/>
              <w:right w:w="180" w:type="dxa"/>
            </w:tcMar>
          </w:tcPr>
          <w:p>
            <w:pPr>
              <w:spacing w:before="40" w:after="40"/>
            </w:pPr>
            <w:r>
              <w:rPr>
                <w:rFonts w:ascii="Consolas" w:hAnsi="Consolas"/>
                <w:color w:val="24292E"/>
                <w:sz w:val="19"/>
              </w:rPr>
              <w:t>./install.sh --profile minimal --target antigravity</w:t>
            </w:r>
          </w:p>
        </w:tc>
      </w:tr>
    </w:tbl>
    <w:p>
      <w:pPr>
        <w:spacing w:after="80"/>
      </w:pPr>
    </w:p>
    <w:p>
      <w:r>
        <w:t>Command for Windows PowerShell:</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80" w:type="dxa"/>
              <w:right w:w="180" w:type="dxa"/>
            </w:tcMar>
          </w:tcPr>
          <w:p>
            <w:pPr>
              <w:spacing w:before="40" w:after="40"/>
            </w:pPr>
            <w:r>
              <w:rPr>
                <w:rFonts w:ascii="Consolas" w:hAnsi="Consolas"/>
                <w:color w:val="24292E"/>
                <w:sz w:val="19"/>
              </w:rPr>
              <w:t>.\install.ps1 -Profile minimal -Target antigravity</w:t>
            </w:r>
          </w:p>
        </w:tc>
      </w:tr>
    </w:tbl>
    <w:p>
      <w:pPr>
        <w:spacing w:after="80"/>
      </w:pPr>
    </w:p>
    <w:p>
      <w:r>
        <w:t>Verification Check:</w:t>
      </w:r>
    </w:p>
    <w:tbl>
      <w:tblPr>
        <w:tblW w:type="auto" w:w="0"/>
        <w:jc w:val="center"/>
        <w:tblLook w:firstColumn="1" w:firstRow="1" w:lastColumn="0" w:lastRow="0" w:noHBand="0" w:noVBand="1" w:val="04A0"/>
      </w:tblPr>
      <w:tblGrid>
        <w:gridCol w:w="9360"/>
      </w:tblGrid>
      <w:tr>
        <w:tc>
          <w:tcPr>
            <w:tcW w:type="dxa" w:w="9360"/>
            <w:shd w:fill="F4F5F7"/>
            <w:tcMar>
              <w:top w:w="100" w:type="dxa"/>
              <w:bottom w:w="100" w:type="dxa"/>
              <w:left w:w="180" w:type="dxa"/>
              <w:right w:w="180" w:type="dxa"/>
            </w:tcMar>
          </w:tcPr>
          <w:p>
            <w:pPr>
              <w:spacing w:before="40" w:after="40"/>
            </w:pPr>
            <w:r>
              <w:rPr>
                <w:rFonts w:ascii="Consolas" w:hAnsi="Consolas"/>
                <w:color w:val="24292E"/>
                <w:sz w:val="19"/>
              </w:rPr>
              <w:t>python bin/frappe_ecc_install.py doctor</w:t>
            </w:r>
          </w:p>
        </w:tc>
      </w:tr>
    </w:tbl>
    <w:p>
      <w:pPr>
        <w:spacing w:after="80"/>
      </w:pPr>
    </w:p>
    <w:p>
      <w:pPr>
        <w:pStyle w:val="Heading1"/>
        <w:keepNext/>
        <w:spacing w:before="280" w:after="80"/>
      </w:pPr>
      <w:r>
        <w:t>4. The 10-Phase Feature Development SOP</w:t>
      </w:r>
    </w:p>
    <w:p>
      <w:r>
        <w:t>Every engineer and AI assistant MUST adhere to the following 10-phase sequence:</w:t>
      </w:r>
    </w:p>
    <w:p>
      <w:pPr>
        <w:pStyle w:val="Heading2"/>
        <w:keepNext/>
        <w:spacing w:before="280" w:after="80"/>
      </w:pPr>
      <w:r>
        <w:t>Phase 1: Feature Planning &amp; Architecture Blueprinting</w:t>
      </w:r>
    </w:p>
    <w:p>
      <w:pPr>
        <w:spacing w:after="80"/>
      </w:pPr>
      <w:r>
        <w:t>Never write code without a blueprint. Invoke the planner agent using '/frappe:plan' or ask your assistant. The planner determines DocType taxonomy (Standard vs Child Table vs Single vs Submittable), fieldtypes, autoname rules (format:AST-.YYYY.-.#####), module boundaries, and execution order.</w:t>
      </w:r>
    </w:p>
    <w:p>
      <w:pPr>
        <w:pStyle w:val="Heading2"/>
        <w:keepNext/>
        <w:spacing w:before="280" w:after="80"/>
      </w:pPr>
      <w:r>
        <w:t>Phase 2: Schema Modeling &amp; DocType Scaffolding</w:t>
      </w:r>
    </w:p>
    <w:p>
      <w:pPr>
        <w:spacing w:after="80"/>
      </w:pPr>
      <w:r>
        <w:t>Generate schema JSON, controller, client script, and test files using '/frappe:doctype'. Ensure search indexes ('search_index': 1) are applied to frequent lookup fields. Embed child tables via 'fieldtype': 'Table' and 'options': '&lt;Child DocType&gt;'.</w:t>
      </w:r>
    </w:p>
    <w:p>
      <w:pPr>
        <w:pStyle w:val="Heading2"/>
        <w:keepNext/>
        <w:spacing w:before="280" w:after="80"/>
      </w:pPr>
      <w:r>
        <w:t>Phase 3: Test-Driven Development (TDD) — Write Tests First</w:t>
      </w:r>
    </w:p>
    <w:p>
      <w:pPr>
        <w:spacing w:after="80"/>
      </w:pPr>
      <w:r>
        <w:t>Before implementing business logic, write failing unit tests in 'test_&lt;doctype&gt;.py' with FrappeTestCase. Assert autoname prefix, mandatory fields, validation failures, and transaction rollbacks. Run tests using 'bench run-tests --doctype &lt;DocType&gt;' to confirm RED failing state.</w:t>
      </w:r>
    </w:p>
    <w:p>
      <w:pPr>
        <w:pStyle w:val="Heading2"/>
        <w:keepNext/>
        <w:spacing w:before="280" w:after="80"/>
      </w:pPr>
      <w:r>
        <w:t>Phase 4: Backend Controller &amp; Lifecycle Implementation</w:t>
      </w:r>
    </w:p>
    <w:p>
      <w:pPr>
        <w:spacing w:after="80"/>
      </w:pPr>
      <w:r>
        <w:t>Implement controller logic using '/frappe:controller'. Follow Frappe's exact lifecycle: before_insert, validate, on_submit, and on_cancel. CRITICAL: NEVER call frappe.db.commit() inside controller events. Use frappe.qb (QueryBuilder) for complex queries. Wrap user strings with _('...').</w:t>
      </w:r>
    </w:p>
    <w:p>
      <w:pPr>
        <w:pStyle w:val="Heading2"/>
        <w:keepNext/>
        <w:spacing w:before="280" w:after="80"/>
      </w:pPr>
      <w:r>
        <w:t>Phase 5: Desk UI &amp; Reactive Client Scripting</w:t>
      </w:r>
    </w:p>
    <w:p>
      <w:pPr>
        <w:spacing w:after="80"/>
      </w:pPr>
      <w:r>
        <w:t>Construct responsive Desk forms using '/frappe:client-script'. Use 'frappe.ui.form.on' for events: onload, refresh, and field triggers. Use frm.add_custom_button, frm.set_df_property, and native dialogs. CRITICAL: Never manipulate the DOM directly using jQuery or raw selectors.</w:t>
      </w:r>
    </w:p>
    <w:p>
      <w:pPr>
        <w:pStyle w:val="Heading2"/>
        <w:keepNext/>
        <w:spacing w:before="280" w:after="80"/>
      </w:pPr>
      <w:r>
        <w:t>Phase 6: Hook Registration &amp; Event Orchestration</w:t>
      </w:r>
    </w:p>
    <w:p>
      <w:pPr>
        <w:spacing w:after="80"/>
      </w:pPr>
      <w:r>
        <w:t>Connect application events, cron jobs, and class overrides into hooks.py using '/frappe:hook'. Configure doc_events for cross-doctype triggers, scheduler_events for cron routines, and fixtures for persistent custom fields and roles.</w:t>
      </w:r>
    </w:p>
    <w:p>
      <w:pPr>
        <w:pStyle w:val="Heading2"/>
        <w:keepNext/>
        <w:spacing w:before="280" w:after="80"/>
      </w:pPr>
      <w:r>
        <w:t>Phase 7: Whitelisted APIs &amp; Webhook Integrations</w:t>
      </w:r>
    </w:p>
    <w:p>
      <w:pPr>
        <w:spacing w:after="80"/>
      </w:pPr>
      <w:r>
        <w:t>Create secure REST endpoints using '/frappe:api'. Annotate endpoints with @frappe.whitelist(). Enforce frappe.only_for() role authorization. Add @frappe.rate_limit on public endpoints. Sanitize inputs with frappe.utils.escape_html().</w:t>
      </w:r>
    </w:p>
    <w:p>
      <w:pPr>
        <w:pStyle w:val="Heading2"/>
        <w:keepNext/>
        <w:spacing w:before="280" w:after="80"/>
      </w:pPr>
      <w:r>
        <w:t>Phase 8: Database Schema Migrations &amp; Patches</w:t>
      </w:r>
    </w:p>
    <w:p>
      <w:pPr>
        <w:spacing w:after="80"/>
      </w:pPr>
      <w:r>
        <w:t>Create idempotent migration patches in 'patches/vX_Y/&lt;patch&gt;.py' using '/frappe:patch'. Always call frappe.reload_doc() before database writes. Verify with 'bench migrate'.</w:t>
      </w:r>
    </w:p>
    <w:p>
      <w:pPr>
        <w:pStyle w:val="Heading2"/>
        <w:keepNext/>
        <w:spacing w:before="280" w:after="80"/>
      </w:pPr>
      <w:r>
        <w:t>Phase 9: Fresh-Context Code Review</w:t>
      </w:r>
    </w:p>
    <w:p>
      <w:pPr>
        <w:spacing w:after="80"/>
      </w:pPr>
      <w:r>
        <w:t>Execute an independent, fresh-context code review using '/frappe:review'. Detects stray db.commit() calls, N+1 query bottlenecks, unindexed filters, and untranslated strings.</w:t>
      </w:r>
    </w:p>
    <w:p>
      <w:pPr>
        <w:pStyle w:val="Heading2"/>
        <w:keepNext/>
        <w:spacing w:before="280" w:after="80"/>
      </w:pPr>
      <w:r>
        <w:t>Phase 10: Security Audit with Frappe Shield</w:t>
      </w:r>
    </w:p>
    <w:p>
      <w:pPr>
        <w:spacing w:after="80"/>
      </w:pPr>
      <w:r>
        <w:t>Run automated AST security scanning using 'python bin/frappe-shield.py &lt;path&gt;' or '/frappe:security'. Flags SQL injection in frappe.db.sql, transaction violations, and direct docstatus mutations. All CRITICAL and HIGH issues must be resolved before deployment.</w:t>
      </w:r>
    </w:p>
    <w:p>
      <w:pPr>
        <w:pStyle w:val="Heading1"/>
        <w:keepNext/>
        <w:spacing w:before="280" w:after="80"/>
      </w:pPr>
      <w:r>
        <w:t>5. Frappe Shield Security Rules &amp; Remediation</w:t>
      </w:r>
    </w:p>
    <w:tbl>
      <w:tblPr>
        <w:tblW w:type="auto" w:w="0"/>
        <w:jc w:val="center"/>
        <w:tblLook w:firstColumn="1" w:firstRow="1" w:lastColumn="0" w:lastRow="0" w:noHBand="0" w:noVBand="1" w:val="04A0"/>
      </w:tblPr>
      <w:tblGrid>
        <w:gridCol w:w="3120"/>
        <w:gridCol w:w="3120"/>
        <w:gridCol w:w="3120"/>
      </w:tblGrid>
      <w:tr>
        <w:tc>
          <w:tcPr>
            <w:tcW w:type="dxa" w:w="3120"/>
            <w:shd w:fill="800000"/>
            <w:tcMar>
              <w:top w:w="80" w:type="dxa"/>
              <w:bottom w:w="80" w:type="dxa"/>
              <w:left w:w="100" w:type="dxa"/>
              <w:right w:w="100" w:type="dxa"/>
            </w:tcMar>
          </w:tcPr>
          <w:p>
            <w:r>
              <w:rPr>
                <w:rFonts w:ascii="Calibri" w:hAnsi="Calibri"/>
                <w:b/>
                <w:color w:val="FFFFFF"/>
                <w:sz w:val="20"/>
              </w:rPr>
              <w:t>Vulnerability Pattern</w:t>
            </w:r>
          </w:p>
        </w:tc>
        <w:tc>
          <w:tcPr>
            <w:tcW w:type="dxa" w:w="3120"/>
            <w:shd w:fill="800000"/>
            <w:tcMar>
              <w:top w:w="80" w:type="dxa"/>
              <w:bottom w:w="80" w:type="dxa"/>
              <w:left w:w="100" w:type="dxa"/>
              <w:right w:w="100" w:type="dxa"/>
            </w:tcMar>
          </w:tcPr>
          <w:p>
            <w:r>
              <w:rPr>
                <w:rFonts w:ascii="Calibri" w:hAnsi="Calibri"/>
                <w:b/>
                <w:color w:val="FFFFFF"/>
                <w:sz w:val="20"/>
              </w:rPr>
              <w:t>Severity</w:t>
            </w:r>
          </w:p>
        </w:tc>
        <w:tc>
          <w:tcPr>
            <w:tcW w:type="dxa" w:w="3120"/>
            <w:shd w:fill="800000"/>
            <w:tcMar>
              <w:top w:w="80" w:type="dxa"/>
              <w:bottom w:w="80" w:type="dxa"/>
              <w:left w:w="100" w:type="dxa"/>
              <w:right w:w="100" w:type="dxa"/>
            </w:tcMar>
          </w:tcPr>
          <w:p>
            <w:r>
              <w:rPr>
                <w:rFonts w:ascii="Calibri" w:hAnsi="Calibri"/>
                <w:b/>
                <w:color w:val="FFFFFF"/>
                <w:sz w:val="20"/>
              </w:rPr>
              <w:t>Remediation Standard</w:t>
            </w:r>
          </w:p>
        </w:tc>
      </w:tr>
      <w:tr>
        <w:tc>
          <w:tcPr>
            <w:tcW w:type="dxa" w:w="3120"/>
            <w:shd w:fill="FFF5F5"/>
            <w:tcMar>
              <w:top w:w="60" w:type="dxa"/>
              <w:bottom w:w="60" w:type="dxa"/>
              <w:left w:w="100" w:type="dxa"/>
              <w:right w:w="100" w:type="dxa"/>
            </w:tcMar>
          </w:tcPr>
          <w:p>
            <w:r>
              <w:rPr>
                <w:rFonts w:ascii="Calibri" w:hAnsi="Calibri"/>
                <w:sz w:val="19"/>
              </w:rPr>
              <w:t>SQL Injection: f-string or % in frappe.db.sql()</w:t>
            </w:r>
          </w:p>
        </w:tc>
        <w:tc>
          <w:tcPr>
            <w:tcW w:type="dxa" w:w="3120"/>
            <w:shd w:fill="FFF5F5"/>
            <w:tcMar>
              <w:top w:w="60" w:type="dxa"/>
              <w:bottom w:w="60" w:type="dxa"/>
              <w:left w:w="100" w:type="dxa"/>
              <w:right w:w="100" w:type="dxa"/>
            </w:tcMar>
          </w:tcPr>
          <w:p>
            <w:r>
              <w:rPr>
                <w:rFonts w:ascii="Calibri" w:hAnsi="Calibri"/>
                <w:b/>
                <w:color w:val="C00000"/>
                <w:sz w:val="19"/>
              </w:rPr>
              <w:t>CRITICAL</w:t>
            </w:r>
          </w:p>
        </w:tc>
        <w:tc>
          <w:tcPr>
            <w:tcW w:type="dxa" w:w="3120"/>
            <w:shd w:fill="FFF5F5"/>
            <w:tcMar>
              <w:top w:w="60" w:type="dxa"/>
              <w:bottom w:w="60" w:type="dxa"/>
              <w:left w:w="100" w:type="dxa"/>
              <w:right w:w="100" w:type="dxa"/>
            </w:tcMar>
          </w:tcPr>
          <w:p>
            <w:r>
              <w:rPr>
                <w:rFonts w:ascii="Calibri" w:hAnsi="Calibri"/>
                <w:sz w:val="19"/>
              </w:rPr>
              <w:t>Replace string interpolation with values={'key': val} or migrate to frappe.qb.</w:t>
            </w:r>
          </w:p>
        </w:tc>
      </w:tr>
      <w:tr>
        <w:tc>
          <w:tcPr>
            <w:tcW w:type="dxa" w:w="3120"/>
            <w:shd w:fill="FFF5F5"/>
            <w:tcMar>
              <w:top w:w="60" w:type="dxa"/>
              <w:bottom w:w="60" w:type="dxa"/>
              <w:left w:w="100" w:type="dxa"/>
              <w:right w:w="100" w:type="dxa"/>
            </w:tcMar>
          </w:tcPr>
          <w:p>
            <w:r>
              <w:rPr>
                <w:rFonts w:ascii="Calibri" w:hAnsi="Calibri"/>
                <w:sz w:val="19"/>
              </w:rPr>
              <w:t>Manual DB Commit Inside Controller Hook</w:t>
            </w:r>
          </w:p>
        </w:tc>
        <w:tc>
          <w:tcPr>
            <w:tcW w:type="dxa" w:w="3120"/>
            <w:shd w:fill="FFF5F5"/>
            <w:tcMar>
              <w:top w:w="60" w:type="dxa"/>
              <w:bottom w:w="60" w:type="dxa"/>
              <w:left w:w="100" w:type="dxa"/>
              <w:right w:w="100" w:type="dxa"/>
            </w:tcMar>
          </w:tcPr>
          <w:p>
            <w:r>
              <w:rPr>
                <w:rFonts w:ascii="Calibri" w:hAnsi="Calibri"/>
                <w:b/>
                <w:color w:val="C00000"/>
                <w:sz w:val="19"/>
              </w:rPr>
              <w:t>CRITICAL</w:t>
            </w:r>
          </w:p>
        </w:tc>
        <w:tc>
          <w:tcPr>
            <w:tcW w:type="dxa" w:w="3120"/>
            <w:shd w:fill="FFF5F5"/>
            <w:tcMar>
              <w:top w:w="60" w:type="dxa"/>
              <w:bottom w:w="60" w:type="dxa"/>
              <w:left w:w="100" w:type="dxa"/>
              <w:right w:w="100" w:type="dxa"/>
            </w:tcMar>
          </w:tcPr>
          <w:p>
            <w:r>
              <w:rPr>
                <w:rFonts w:ascii="Calibri" w:hAnsi="Calibri"/>
                <w:sz w:val="19"/>
              </w:rPr>
              <w:t>Remove frappe.db.commit(). Frappe manages transaction commits automatically.</w:t>
            </w:r>
          </w:p>
        </w:tc>
      </w:tr>
      <w:tr>
        <w:tc>
          <w:tcPr>
            <w:tcW w:type="dxa" w:w="3120"/>
            <w:shd w:fill="FFFFFF"/>
            <w:tcMar>
              <w:top w:w="60" w:type="dxa"/>
              <w:bottom w:w="60" w:type="dxa"/>
              <w:left w:w="100" w:type="dxa"/>
              <w:right w:w="100" w:type="dxa"/>
            </w:tcMar>
          </w:tcPr>
          <w:p>
            <w:r>
              <w:rPr>
                <w:rFonts w:ascii="Calibri" w:hAnsi="Calibri"/>
                <w:sz w:val="19"/>
              </w:rPr>
              <w:t>Unrestricted Guest Whitelist API</w:t>
            </w:r>
          </w:p>
        </w:tc>
        <w:tc>
          <w:tcPr>
            <w:tcW w:type="dxa" w:w="3120"/>
            <w:shd w:fill="FFFFFF"/>
            <w:tcMar>
              <w:top w:w="60" w:type="dxa"/>
              <w:bottom w:w="60" w:type="dxa"/>
              <w:left w:w="100" w:type="dxa"/>
              <w:right w:w="100" w:type="dxa"/>
            </w:tcMar>
          </w:tcPr>
          <w:p>
            <w:r>
              <w:rPr>
                <w:rFonts w:ascii="Calibri" w:hAnsi="Calibri"/>
                <w:b/>
                <w:color w:val="E67E22"/>
                <w:sz w:val="19"/>
              </w:rPr>
              <w:t>HIGH</w:t>
            </w:r>
          </w:p>
        </w:tc>
        <w:tc>
          <w:tcPr>
            <w:tcW w:type="dxa" w:w="3120"/>
            <w:shd w:fill="FFFFFF"/>
            <w:tcMar>
              <w:top w:w="60" w:type="dxa"/>
              <w:bottom w:w="60" w:type="dxa"/>
              <w:left w:w="100" w:type="dxa"/>
              <w:right w:w="100" w:type="dxa"/>
            </w:tcMar>
          </w:tcPr>
          <w:p>
            <w:r>
              <w:rPr>
                <w:rFonts w:ascii="Calibri" w:hAnsi="Calibri"/>
                <w:sz w:val="19"/>
              </w:rPr>
              <w:t>Add @frappe.rate_limit(limit=10, seconds=60) and validate/sanitize all inputs.</w:t>
            </w:r>
          </w:p>
        </w:tc>
      </w:tr>
      <w:tr>
        <w:tc>
          <w:tcPr>
            <w:tcW w:type="dxa" w:w="3120"/>
            <w:shd w:fill="FFFFFF"/>
            <w:tcMar>
              <w:top w:w="60" w:type="dxa"/>
              <w:bottom w:w="60" w:type="dxa"/>
              <w:left w:w="100" w:type="dxa"/>
              <w:right w:w="100" w:type="dxa"/>
            </w:tcMar>
          </w:tcPr>
          <w:p>
            <w:r>
              <w:rPr>
                <w:rFonts w:ascii="Calibri" w:hAnsi="Calibri"/>
                <w:sz w:val="19"/>
              </w:rPr>
              <w:t>Direct docstatus = 1 Assignment</w:t>
            </w:r>
          </w:p>
        </w:tc>
        <w:tc>
          <w:tcPr>
            <w:tcW w:type="dxa" w:w="3120"/>
            <w:shd w:fill="FFFFFF"/>
            <w:tcMar>
              <w:top w:w="60" w:type="dxa"/>
              <w:bottom w:w="60" w:type="dxa"/>
              <w:left w:w="100" w:type="dxa"/>
              <w:right w:w="100" w:type="dxa"/>
            </w:tcMar>
          </w:tcPr>
          <w:p>
            <w:r>
              <w:rPr>
                <w:rFonts w:ascii="Calibri" w:hAnsi="Calibri"/>
                <w:b/>
                <w:color w:val="E67E22"/>
                <w:sz w:val="19"/>
              </w:rPr>
              <w:t>HIGH</w:t>
            </w:r>
          </w:p>
        </w:tc>
        <w:tc>
          <w:tcPr>
            <w:tcW w:type="dxa" w:w="3120"/>
            <w:shd w:fill="FFFFFF"/>
            <w:tcMar>
              <w:top w:w="60" w:type="dxa"/>
              <w:bottom w:w="60" w:type="dxa"/>
              <w:left w:w="100" w:type="dxa"/>
              <w:right w:w="100" w:type="dxa"/>
            </w:tcMar>
          </w:tcPr>
          <w:p>
            <w:r>
              <w:rPr>
                <w:rFonts w:ascii="Calibri" w:hAnsi="Calibri"/>
                <w:sz w:val="19"/>
              </w:rPr>
              <w:t>Use doc.submit() or doc.cancel() instead of directly overwriting docstatus.</w:t>
            </w:r>
          </w:p>
        </w:tc>
      </w:tr>
      <w:tr>
        <w:tc>
          <w:tcPr>
            <w:tcW w:type="dxa" w:w="3120"/>
            <w:shd w:fill="FFFFFF"/>
            <w:tcMar>
              <w:top w:w="60" w:type="dxa"/>
              <w:bottom w:w="60" w:type="dxa"/>
              <w:left w:w="100" w:type="dxa"/>
              <w:right w:w="100" w:type="dxa"/>
            </w:tcMar>
          </w:tcPr>
          <w:p>
            <w:r>
              <w:rPr>
                <w:rFonts w:ascii="Calibri" w:hAnsi="Calibri"/>
                <w:sz w:val="19"/>
              </w:rPr>
              <w:t>N+1 Query Loop (frappe.get_doc in loop)</w:t>
            </w:r>
          </w:p>
        </w:tc>
        <w:tc>
          <w:tcPr>
            <w:tcW w:type="dxa" w:w="3120"/>
            <w:shd w:fill="FFFFFF"/>
            <w:tcMar>
              <w:top w:w="60" w:type="dxa"/>
              <w:bottom w:w="60" w:type="dxa"/>
              <w:left w:w="100" w:type="dxa"/>
              <w:right w:w="100" w:type="dxa"/>
            </w:tcMar>
          </w:tcPr>
          <w:p>
            <w:r>
              <w:rPr>
                <w:rFonts w:ascii="Calibri" w:hAnsi="Calibri"/>
                <w:b/>
                <w:sz w:val="19"/>
              </w:rPr>
              <w:t>MEDIUM</w:t>
            </w:r>
          </w:p>
        </w:tc>
        <w:tc>
          <w:tcPr>
            <w:tcW w:type="dxa" w:w="3120"/>
            <w:shd w:fill="FFFFFF"/>
            <w:tcMar>
              <w:top w:w="60" w:type="dxa"/>
              <w:bottom w:w="60" w:type="dxa"/>
              <w:left w:w="100" w:type="dxa"/>
              <w:right w:w="100" w:type="dxa"/>
            </w:tcMar>
          </w:tcPr>
          <w:p>
            <w:r>
              <w:rPr>
                <w:rFonts w:ascii="Calibri" w:hAnsi="Calibri"/>
                <w:sz w:val="19"/>
              </w:rPr>
              <w:t>Batch fetch using frappe.get_all(filters={'name': ['in', ids]}) or frappe.db.get_values().</w:t>
            </w:r>
          </w:p>
        </w:tc>
      </w:tr>
    </w:tbl>
    <w:p>
      <w:pPr>
        <w:spacing w:after="160"/>
      </w:pPr>
    </w:p>
    <w:p>
      <w:pPr>
        <w:pStyle w:val="Heading1"/>
        <w:keepNext/>
        <w:spacing w:before="280" w:after="80"/>
      </w:pPr>
      <w:r>
        <w:t>6. DevOps &amp; Bench Troubleshooting Runbook</w:t>
      </w:r>
    </w:p>
    <w:p>
      <w:pPr>
        <w:spacing w:after="40"/>
      </w:pPr>
      <w:r>
        <w:rPr>
          <w:rFonts w:ascii="Calibri" w:hAnsi="Calibri"/>
          <w:b/>
        </w:rPr>
        <w:t xml:space="preserve">• Redis Connection Failure (redis.exceptions.ConnectionError): </w:t>
      </w:r>
      <w:r>
        <w:rPr>
          <w:rFonts w:ascii="Calibri" w:hAnsi="Calibri"/>
        </w:rPr>
        <w:t>Ensure Redis is running: 'sudo systemctl restart redis-server'. Verify socket path in config/redis_cache.conf.</w:t>
      </w:r>
    </w:p>
    <w:p>
      <w:pPr>
        <w:spacing w:after="40"/>
      </w:pPr>
      <w:r>
        <w:rPr>
          <w:rFonts w:ascii="Calibri" w:hAnsi="Calibri"/>
          <w:b/>
        </w:rPr>
        <w:t xml:space="preserve">• Duplicate Entry Error on Schema Migration: </w:t>
      </w:r>
      <w:r>
        <w:rPr>
          <w:rFonts w:ascii="Calibri" w:hAnsi="Calibri"/>
        </w:rPr>
        <w:t>Inspect table using 'bench mariadb'. Remove or update duplicate rows prior to applying unique index constraint.</w:t>
      </w:r>
    </w:p>
    <w:p>
      <w:pPr>
        <w:spacing w:after="40"/>
      </w:pPr>
      <w:r>
        <w:rPr>
          <w:rFonts w:ascii="Calibri" w:hAnsi="Calibri"/>
          <w:b/>
        </w:rPr>
        <w:t xml:space="preserve">• UI Changes Not Reflecting in Desk Form: </w:t>
      </w:r>
      <w:r>
        <w:rPr>
          <w:rFonts w:ascii="Calibri" w:hAnsi="Calibri"/>
        </w:rPr>
        <w:t>Clear Redis cache and rebuild assets: 'bench --site &lt;site&gt; clear-cache &amp;&amp; bench build --app &lt;app&gt;'. Perform hard browser refresh (Ctrl+F5).</w:t>
      </w:r>
    </w:p>
    <w:p>
      <w:pPr>
        <w:spacing w:after="40"/>
      </w:pPr>
      <w:r>
        <w:rPr>
          <w:rFonts w:ascii="Calibri" w:hAnsi="Calibri"/>
          <w:b/>
        </w:rPr>
        <w:t xml:space="preserve">• Background Workers Stalled / Queues Backlogged: </w:t>
      </w:r>
      <w:r>
        <w:rPr>
          <w:rFonts w:ascii="Calibri" w:hAnsi="Calibri"/>
        </w:rPr>
        <w:t>Inspect queue health with 'bench doctor'. Restart RQ workers: 'bench worker --queue default,short,long'.</w:t>
      </w:r>
    </w:p>
    <w:p>
      <w:pPr>
        <w:pStyle w:val="Heading1"/>
        <w:keepNext/>
        <w:spacing w:before="280" w:after="80"/>
      </w:pPr>
      <w:r>
        <w:t>7. Quick Reference Command Cheat Sheet</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80" w:type="dxa"/>
              <w:bottom w:w="80" w:type="dxa"/>
              <w:left w:w="100" w:type="dxa"/>
              <w:right w:w="100" w:type="dxa"/>
            </w:tcMar>
          </w:tcPr>
          <w:p>
            <w:r>
              <w:rPr>
                <w:rFonts w:ascii="Calibri" w:hAnsi="Calibri"/>
                <w:b/>
                <w:color w:val="FFFFFF"/>
                <w:sz w:val="20"/>
              </w:rPr>
              <w:t>Slash Command</w:t>
            </w:r>
          </w:p>
        </w:tc>
        <w:tc>
          <w:tcPr>
            <w:tcW w:type="dxa" w:w="3120"/>
            <w:shd w:fill="1F4E79"/>
            <w:tcMar>
              <w:top w:w="80" w:type="dxa"/>
              <w:bottom w:w="80" w:type="dxa"/>
              <w:left w:w="100" w:type="dxa"/>
              <w:right w:w="100" w:type="dxa"/>
            </w:tcMar>
          </w:tcPr>
          <w:p>
            <w:r>
              <w:rPr>
                <w:rFonts w:ascii="Calibri" w:hAnsi="Calibri"/>
                <w:b/>
                <w:color w:val="FFFFFF"/>
                <w:sz w:val="20"/>
              </w:rPr>
              <w:t>Specialist Agent</w:t>
            </w:r>
          </w:p>
        </w:tc>
        <w:tc>
          <w:tcPr>
            <w:tcW w:type="dxa" w:w="3120"/>
            <w:shd w:fill="1F4E79"/>
            <w:tcMar>
              <w:top w:w="80" w:type="dxa"/>
              <w:bottom w:w="80" w:type="dxa"/>
              <w:left w:w="100" w:type="dxa"/>
              <w:right w:w="100" w:type="dxa"/>
            </w:tcMar>
          </w:tcPr>
          <w:p>
            <w:r>
              <w:rPr>
                <w:rFonts w:ascii="Calibri" w:hAnsi="Calibri"/>
                <w:b/>
                <w:color w:val="FFFFFF"/>
                <w:sz w:val="20"/>
              </w:rPr>
              <w:t>Standard Operation</w:t>
            </w:r>
          </w:p>
        </w:tc>
      </w:tr>
      <w:tr>
        <w:tc>
          <w:tcPr>
            <w:tcW w:type="dxa" w:w="3120"/>
            <w:shd w:fill="FFFFFF"/>
            <w:tcMar>
              <w:top w:w="50" w:type="dxa"/>
              <w:bottom w:w="50" w:type="dxa"/>
              <w:left w:w="80" w:type="dxa"/>
              <w:right w:w="80" w:type="dxa"/>
            </w:tcMar>
          </w:tcPr>
          <w:p>
            <w:r>
              <w:rPr>
                <w:rFonts w:ascii="Consolas" w:hAnsi="Consolas"/>
                <w:b/>
                <w:color w:val="1F4E79"/>
                <w:sz w:val="18"/>
              </w:rPr>
              <w:t>/frappe:plan '&lt;feature&gt;'</w:t>
            </w:r>
          </w:p>
        </w:tc>
        <w:tc>
          <w:tcPr>
            <w:tcW w:type="dxa" w:w="3120"/>
            <w:shd w:fill="FFFFFF"/>
            <w:tcMar>
              <w:top w:w="50" w:type="dxa"/>
              <w:bottom w:w="50" w:type="dxa"/>
              <w:left w:w="80" w:type="dxa"/>
              <w:right w:w="80" w:type="dxa"/>
            </w:tcMar>
          </w:tcPr>
          <w:p>
            <w:r>
              <w:rPr>
                <w:rFonts w:ascii="Calibri" w:hAnsi="Calibri"/>
                <w:sz w:val="18"/>
              </w:rPr>
              <w:t>frappe-planner</w:t>
            </w:r>
          </w:p>
        </w:tc>
        <w:tc>
          <w:tcPr>
            <w:tcW w:type="dxa" w:w="3120"/>
            <w:shd w:fill="FFFFFF"/>
            <w:tcMar>
              <w:top w:w="50" w:type="dxa"/>
              <w:bottom w:w="50" w:type="dxa"/>
              <w:left w:w="80" w:type="dxa"/>
              <w:right w:w="80" w:type="dxa"/>
            </w:tcMar>
          </w:tcPr>
          <w:p>
            <w:r>
              <w:rPr>
                <w:rFonts w:ascii="Calibri" w:hAnsi="Calibri"/>
                <w:sz w:val="18"/>
              </w:rPr>
              <w:t>Architect feature schema blueprint and relationships</w:t>
            </w:r>
          </w:p>
        </w:tc>
      </w:tr>
      <w:tr>
        <w:tc>
          <w:tcPr>
            <w:tcW w:type="dxa" w:w="3120"/>
            <w:shd w:fill="F9FAFC"/>
            <w:tcMar>
              <w:top w:w="50" w:type="dxa"/>
              <w:bottom w:w="50" w:type="dxa"/>
              <w:left w:w="80" w:type="dxa"/>
              <w:right w:w="80" w:type="dxa"/>
            </w:tcMar>
          </w:tcPr>
          <w:p>
            <w:r>
              <w:rPr>
                <w:rFonts w:ascii="Consolas" w:hAnsi="Consolas"/>
                <w:b/>
                <w:color w:val="1F4E79"/>
                <w:sz w:val="18"/>
              </w:rPr>
              <w:t>/frappe:doctype '&lt;Name&gt;'</w:t>
            </w:r>
          </w:p>
        </w:tc>
        <w:tc>
          <w:tcPr>
            <w:tcW w:type="dxa" w:w="3120"/>
            <w:shd w:fill="F9FAFC"/>
            <w:tcMar>
              <w:top w:w="50" w:type="dxa"/>
              <w:bottom w:w="50" w:type="dxa"/>
              <w:left w:w="80" w:type="dxa"/>
              <w:right w:w="80" w:type="dxa"/>
            </w:tcMar>
          </w:tcPr>
          <w:p>
            <w:r>
              <w:rPr>
                <w:rFonts w:ascii="Calibri" w:hAnsi="Calibri"/>
                <w:sz w:val="18"/>
              </w:rPr>
              <w:t>frappe-planner</w:t>
            </w:r>
          </w:p>
        </w:tc>
        <w:tc>
          <w:tcPr>
            <w:tcW w:type="dxa" w:w="3120"/>
            <w:shd w:fill="F9FAFC"/>
            <w:tcMar>
              <w:top w:w="50" w:type="dxa"/>
              <w:bottom w:w="50" w:type="dxa"/>
              <w:left w:w="80" w:type="dxa"/>
              <w:right w:w="80" w:type="dxa"/>
            </w:tcMar>
          </w:tcPr>
          <w:p>
            <w:r>
              <w:rPr>
                <w:rFonts w:ascii="Calibri" w:hAnsi="Calibri"/>
                <w:sz w:val="18"/>
              </w:rPr>
              <w:t>Scaffold complete .json, .py, .js, and test files</w:t>
            </w:r>
          </w:p>
        </w:tc>
      </w:tr>
      <w:tr>
        <w:tc>
          <w:tcPr>
            <w:tcW w:type="dxa" w:w="3120"/>
            <w:shd w:fill="FFFFFF"/>
            <w:tcMar>
              <w:top w:w="50" w:type="dxa"/>
              <w:bottom w:w="50" w:type="dxa"/>
              <w:left w:w="80" w:type="dxa"/>
              <w:right w:w="80" w:type="dxa"/>
            </w:tcMar>
          </w:tcPr>
          <w:p>
            <w:r>
              <w:rPr>
                <w:rFonts w:ascii="Consolas" w:hAnsi="Consolas"/>
                <w:b/>
                <w:color w:val="1F4E79"/>
                <w:sz w:val="18"/>
              </w:rPr>
              <w:t>/frappe:controller '&lt;Name&gt;'</w:t>
            </w:r>
          </w:p>
        </w:tc>
        <w:tc>
          <w:tcPr>
            <w:tcW w:type="dxa" w:w="3120"/>
            <w:shd w:fill="FFFFFF"/>
            <w:tcMar>
              <w:top w:w="50" w:type="dxa"/>
              <w:bottom w:w="50" w:type="dxa"/>
              <w:left w:w="80" w:type="dxa"/>
              <w:right w:w="80" w:type="dxa"/>
            </w:tcMar>
          </w:tcPr>
          <w:p>
            <w:r>
              <w:rPr>
                <w:rFonts w:ascii="Calibri" w:hAnsi="Calibri"/>
                <w:sz w:val="18"/>
              </w:rPr>
              <w:t>frappe-backend-builder</w:t>
            </w:r>
          </w:p>
        </w:tc>
        <w:tc>
          <w:tcPr>
            <w:tcW w:type="dxa" w:w="3120"/>
            <w:shd w:fill="FFFFFF"/>
            <w:tcMar>
              <w:top w:w="50" w:type="dxa"/>
              <w:bottom w:w="50" w:type="dxa"/>
              <w:left w:w="80" w:type="dxa"/>
              <w:right w:w="80" w:type="dxa"/>
            </w:tcMar>
          </w:tcPr>
          <w:p>
            <w:r>
              <w:rPr>
                <w:rFonts w:ascii="Calibri" w:hAnsi="Calibri"/>
                <w:sz w:val="18"/>
              </w:rPr>
              <w:t>Implement controller lifecycle hooks and validations</w:t>
            </w:r>
          </w:p>
        </w:tc>
      </w:tr>
      <w:tr>
        <w:tc>
          <w:tcPr>
            <w:tcW w:type="dxa" w:w="3120"/>
            <w:shd w:fill="F9FAFC"/>
            <w:tcMar>
              <w:top w:w="50" w:type="dxa"/>
              <w:bottom w:w="50" w:type="dxa"/>
              <w:left w:w="80" w:type="dxa"/>
              <w:right w:w="80" w:type="dxa"/>
            </w:tcMar>
          </w:tcPr>
          <w:p>
            <w:r>
              <w:rPr>
                <w:rFonts w:ascii="Consolas" w:hAnsi="Consolas"/>
                <w:b/>
                <w:color w:val="1F4E79"/>
                <w:sz w:val="18"/>
              </w:rPr>
              <w:t>/frappe:client-script '&lt;Name&gt;'</w:t>
            </w:r>
          </w:p>
        </w:tc>
        <w:tc>
          <w:tcPr>
            <w:tcW w:type="dxa" w:w="3120"/>
            <w:shd w:fill="F9FAFC"/>
            <w:tcMar>
              <w:top w:w="50" w:type="dxa"/>
              <w:bottom w:w="50" w:type="dxa"/>
              <w:left w:w="80" w:type="dxa"/>
              <w:right w:w="80" w:type="dxa"/>
            </w:tcMar>
          </w:tcPr>
          <w:p>
            <w:r>
              <w:rPr>
                <w:rFonts w:ascii="Calibri" w:hAnsi="Calibri"/>
                <w:sz w:val="18"/>
              </w:rPr>
              <w:t>frappe-desk-builder</w:t>
            </w:r>
          </w:p>
        </w:tc>
        <w:tc>
          <w:tcPr>
            <w:tcW w:type="dxa" w:w="3120"/>
            <w:shd w:fill="F9FAFC"/>
            <w:tcMar>
              <w:top w:w="50" w:type="dxa"/>
              <w:bottom w:w="50" w:type="dxa"/>
              <w:left w:w="80" w:type="dxa"/>
              <w:right w:w="80" w:type="dxa"/>
            </w:tcMar>
          </w:tcPr>
          <w:p>
            <w:r>
              <w:rPr>
                <w:rFonts w:ascii="Calibri" w:hAnsi="Calibri"/>
                <w:sz w:val="18"/>
              </w:rPr>
              <w:t>Construct reactive Desk form scripts and custom dialogs</w:t>
            </w:r>
          </w:p>
        </w:tc>
      </w:tr>
      <w:tr>
        <w:tc>
          <w:tcPr>
            <w:tcW w:type="dxa" w:w="3120"/>
            <w:shd w:fill="FFFFFF"/>
            <w:tcMar>
              <w:top w:w="50" w:type="dxa"/>
              <w:bottom w:w="50" w:type="dxa"/>
              <w:left w:w="80" w:type="dxa"/>
              <w:right w:w="80" w:type="dxa"/>
            </w:tcMar>
          </w:tcPr>
          <w:p>
            <w:r>
              <w:rPr>
                <w:rFonts w:ascii="Consolas" w:hAnsi="Consolas"/>
                <w:b/>
                <w:color w:val="1F4E79"/>
                <w:sz w:val="18"/>
              </w:rPr>
              <w:t>/frappe:hook [event|cron]</w:t>
            </w:r>
          </w:p>
        </w:tc>
        <w:tc>
          <w:tcPr>
            <w:tcW w:type="dxa" w:w="3120"/>
            <w:shd w:fill="FFFFFF"/>
            <w:tcMar>
              <w:top w:w="50" w:type="dxa"/>
              <w:bottom w:w="50" w:type="dxa"/>
              <w:left w:w="80" w:type="dxa"/>
              <w:right w:w="80" w:type="dxa"/>
            </w:tcMar>
          </w:tcPr>
          <w:p>
            <w:r>
              <w:rPr>
                <w:rFonts w:ascii="Calibri" w:hAnsi="Calibri"/>
                <w:sz w:val="18"/>
              </w:rPr>
              <w:t>frappe-architect</w:t>
            </w:r>
          </w:p>
        </w:tc>
        <w:tc>
          <w:tcPr>
            <w:tcW w:type="dxa" w:w="3120"/>
            <w:shd w:fill="FFFFFF"/>
            <w:tcMar>
              <w:top w:w="50" w:type="dxa"/>
              <w:bottom w:w="50" w:type="dxa"/>
              <w:left w:w="80" w:type="dxa"/>
              <w:right w:w="80" w:type="dxa"/>
            </w:tcMar>
          </w:tcPr>
          <w:p>
            <w:r>
              <w:rPr>
                <w:rFonts w:ascii="Calibri" w:hAnsi="Calibri"/>
                <w:sz w:val="18"/>
              </w:rPr>
              <w:t>Wire doc_events, scheduler cron, or class overrides</w:t>
            </w:r>
          </w:p>
        </w:tc>
      </w:tr>
      <w:tr>
        <w:tc>
          <w:tcPr>
            <w:tcW w:type="dxa" w:w="3120"/>
            <w:shd w:fill="F9FAFC"/>
            <w:tcMar>
              <w:top w:w="50" w:type="dxa"/>
              <w:bottom w:w="50" w:type="dxa"/>
              <w:left w:w="80" w:type="dxa"/>
              <w:right w:w="80" w:type="dxa"/>
            </w:tcMar>
          </w:tcPr>
          <w:p>
            <w:r>
              <w:rPr>
                <w:rFonts w:ascii="Consolas" w:hAnsi="Consolas"/>
                <w:b/>
                <w:color w:val="1F4E79"/>
                <w:sz w:val="18"/>
              </w:rPr>
              <w:t>/frappe:api '&lt;name&gt;'</w:t>
            </w:r>
          </w:p>
        </w:tc>
        <w:tc>
          <w:tcPr>
            <w:tcW w:type="dxa" w:w="3120"/>
            <w:shd w:fill="F9FAFC"/>
            <w:tcMar>
              <w:top w:w="50" w:type="dxa"/>
              <w:bottom w:w="50" w:type="dxa"/>
              <w:left w:w="80" w:type="dxa"/>
              <w:right w:w="80" w:type="dxa"/>
            </w:tcMar>
          </w:tcPr>
          <w:p>
            <w:r>
              <w:rPr>
                <w:rFonts w:ascii="Calibri" w:hAnsi="Calibri"/>
                <w:sz w:val="18"/>
              </w:rPr>
              <w:t>frappe-api-integrator</w:t>
            </w:r>
          </w:p>
        </w:tc>
        <w:tc>
          <w:tcPr>
            <w:tcW w:type="dxa" w:w="3120"/>
            <w:shd w:fill="F9FAFC"/>
            <w:tcMar>
              <w:top w:w="50" w:type="dxa"/>
              <w:bottom w:w="50" w:type="dxa"/>
              <w:left w:w="80" w:type="dxa"/>
              <w:right w:w="80" w:type="dxa"/>
            </w:tcMar>
          </w:tcPr>
          <w:p>
            <w:r>
              <w:rPr>
                <w:rFonts w:ascii="Calibri" w:hAnsi="Calibri"/>
                <w:sz w:val="18"/>
              </w:rPr>
              <w:t>Generate secure whitelisted REST API endpoint</w:t>
            </w:r>
          </w:p>
        </w:tc>
      </w:tr>
      <w:tr>
        <w:tc>
          <w:tcPr>
            <w:tcW w:type="dxa" w:w="3120"/>
            <w:shd w:fill="FFFFFF"/>
            <w:tcMar>
              <w:top w:w="50" w:type="dxa"/>
              <w:bottom w:w="50" w:type="dxa"/>
              <w:left w:w="80" w:type="dxa"/>
              <w:right w:w="80" w:type="dxa"/>
            </w:tcMar>
          </w:tcPr>
          <w:p>
            <w:r>
              <w:rPr>
                <w:rFonts w:ascii="Consolas" w:hAnsi="Consolas"/>
                <w:b/>
                <w:color w:val="1F4E79"/>
                <w:sz w:val="18"/>
              </w:rPr>
              <w:t>/frappe:test '&lt;Name&gt;'</w:t>
            </w:r>
          </w:p>
        </w:tc>
        <w:tc>
          <w:tcPr>
            <w:tcW w:type="dxa" w:w="3120"/>
            <w:shd w:fill="FFFFFF"/>
            <w:tcMar>
              <w:top w:w="50" w:type="dxa"/>
              <w:bottom w:w="50" w:type="dxa"/>
              <w:left w:w="80" w:type="dxa"/>
              <w:right w:w="80" w:type="dxa"/>
            </w:tcMar>
          </w:tcPr>
          <w:p>
            <w:r>
              <w:rPr>
                <w:rFonts w:ascii="Calibri" w:hAnsi="Calibri"/>
                <w:sz w:val="18"/>
              </w:rPr>
              <w:t>frappe-tdd-guide</w:t>
            </w:r>
          </w:p>
        </w:tc>
        <w:tc>
          <w:tcPr>
            <w:tcW w:type="dxa" w:w="3120"/>
            <w:shd w:fill="FFFFFF"/>
            <w:tcMar>
              <w:top w:w="50" w:type="dxa"/>
              <w:bottom w:w="50" w:type="dxa"/>
              <w:left w:w="80" w:type="dxa"/>
              <w:right w:w="80" w:type="dxa"/>
            </w:tcMar>
          </w:tcPr>
          <w:p>
            <w:r>
              <w:rPr>
                <w:rFonts w:ascii="Calibri" w:hAnsi="Calibri"/>
                <w:sz w:val="18"/>
              </w:rPr>
              <w:t>Scaffold unit tests with FrappeTestCase</w:t>
            </w:r>
          </w:p>
        </w:tc>
      </w:tr>
      <w:tr>
        <w:tc>
          <w:tcPr>
            <w:tcW w:type="dxa" w:w="3120"/>
            <w:shd w:fill="F9FAFC"/>
            <w:tcMar>
              <w:top w:w="50" w:type="dxa"/>
              <w:bottom w:w="50" w:type="dxa"/>
              <w:left w:w="80" w:type="dxa"/>
              <w:right w:w="80" w:type="dxa"/>
            </w:tcMar>
          </w:tcPr>
          <w:p>
            <w:r>
              <w:rPr>
                <w:rFonts w:ascii="Consolas" w:hAnsi="Consolas"/>
                <w:b/>
                <w:color w:val="1F4E79"/>
                <w:sz w:val="18"/>
              </w:rPr>
              <w:t>/frappe:review [path]</w:t>
            </w:r>
          </w:p>
        </w:tc>
        <w:tc>
          <w:tcPr>
            <w:tcW w:type="dxa" w:w="3120"/>
            <w:shd w:fill="F9FAFC"/>
            <w:tcMar>
              <w:top w:w="50" w:type="dxa"/>
              <w:bottom w:w="50" w:type="dxa"/>
              <w:left w:w="80" w:type="dxa"/>
              <w:right w:w="80" w:type="dxa"/>
            </w:tcMar>
          </w:tcPr>
          <w:p>
            <w:r>
              <w:rPr>
                <w:rFonts w:ascii="Calibri" w:hAnsi="Calibri"/>
                <w:sz w:val="18"/>
              </w:rPr>
              <w:t>frappe-code-reviewer</w:t>
            </w:r>
          </w:p>
        </w:tc>
        <w:tc>
          <w:tcPr>
            <w:tcW w:type="dxa" w:w="3120"/>
            <w:shd w:fill="F9FAFC"/>
            <w:tcMar>
              <w:top w:w="50" w:type="dxa"/>
              <w:bottom w:w="50" w:type="dxa"/>
              <w:left w:w="80" w:type="dxa"/>
              <w:right w:w="80" w:type="dxa"/>
            </w:tcMar>
          </w:tcPr>
          <w:p>
            <w:r>
              <w:rPr>
                <w:rFonts w:ascii="Calibri" w:hAnsi="Calibri"/>
                <w:sz w:val="18"/>
              </w:rPr>
              <w:t>Review diffs in fresh context for Frappe anti-patterns</w:t>
            </w:r>
          </w:p>
        </w:tc>
      </w:tr>
      <w:tr>
        <w:tc>
          <w:tcPr>
            <w:tcW w:type="dxa" w:w="3120"/>
            <w:shd w:fill="FFFFFF"/>
            <w:tcMar>
              <w:top w:w="50" w:type="dxa"/>
              <w:bottom w:w="50" w:type="dxa"/>
              <w:left w:w="80" w:type="dxa"/>
              <w:right w:w="80" w:type="dxa"/>
            </w:tcMar>
          </w:tcPr>
          <w:p>
            <w:r>
              <w:rPr>
                <w:rFonts w:ascii="Consolas" w:hAnsi="Consolas"/>
                <w:b/>
                <w:color w:val="1F4E79"/>
                <w:sz w:val="18"/>
              </w:rPr>
              <w:t>/frappe:security [path]</w:t>
            </w:r>
          </w:p>
        </w:tc>
        <w:tc>
          <w:tcPr>
            <w:tcW w:type="dxa" w:w="3120"/>
            <w:shd w:fill="FFFFFF"/>
            <w:tcMar>
              <w:top w:w="50" w:type="dxa"/>
              <w:bottom w:w="50" w:type="dxa"/>
              <w:left w:w="80" w:type="dxa"/>
              <w:right w:w="80" w:type="dxa"/>
            </w:tcMar>
          </w:tcPr>
          <w:p>
            <w:r>
              <w:rPr>
                <w:rFonts w:ascii="Calibri" w:hAnsi="Calibri"/>
                <w:sz w:val="18"/>
              </w:rPr>
              <w:t>frappe-security-reviewer</w:t>
            </w:r>
          </w:p>
        </w:tc>
        <w:tc>
          <w:tcPr>
            <w:tcW w:type="dxa" w:w="3120"/>
            <w:shd w:fill="FFFFFF"/>
            <w:tcMar>
              <w:top w:w="50" w:type="dxa"/>
              <w:bottom w:w="50" w:type="dxa"/>
              <w:left w:w="80" w:type="dxa"/>
              <w:right w:w="80" w:type="dxa"/>
            </w:tcMar>
          </w:tcPr>
          <w:p>
            <w:r>
              <w:rPr>
                <w:rFonts w:ascii="Calibri" w:hAnsi="Calibri"/>
                <w:sz w:val="18"/>
              </w:rPr>
              <w:t>Execute AST vulnerability audit (SQLi, IDOR, XSS)</w:t>
            </w:r>
          </w:p>
        </w:tc>
      </w:tr>
      <w:tr>
        <w:tc>
          <w:tcPr>
            <w:tcW w:type="dxa" w:w="3120"/>
            <w:shd w:fill="F9FAFC"/>
            <w:tcMar>
              <w:top w:w="50" w:type="dxa"/>
              <w:bottom w:w="50" w:type="dxa"/>
              <w:left w:w="80" w:type="dxa"/>
              <w:right w:w="80" w:type="dxa"/>
            </w:tcMar>
          </w:tcPr>
          <w:p>
            <w:r>
              <w:rPr>
                <w:rFonts w:ascii="Consolas" w:hAnsi="Consolas"/>
                <w:b/>
                <w:color w:val="1F4E79"/>
                <w:sz w:val="18"/>
              </w:rPr>
              <w:t>/frappe:patch '&lt;desc&gt;'</w:t>
            </w:r>
          </w:p>
        </w:tc>
        <w:tc>
          <w:tcPr>
            <w:tcW w:type="dxa" w:w="3120"/>
            <w:shd w:fill="F9FAFC"/>
            <w:tcMar>
              <w:top w:w="50" w:type="dxa"/>
              <w:bottom w:w="50" w:type="dxa"/>
              <w:left w:w="80" w:type="dxa"/>
              <w:right w:w="80" w:type="dxa"/>
            </w:tcMar>
          </w:tcPr>
          <w:p>
            <w:r>
              <w:rPr>
                <w:rFonts w:ascii="Calibri" w:hAnsi="Calibri"/>
                <w:sz w:val="18"/>
              </w:rPr>
              <w:t>frappe-migration-patcher</w:t>
            </w:r>
          </w:p>
        </w:tc>
        <w:tc>
          <w:tcPr>
            <w:tcW w:type="dxa" w:w="3120"/>
            <w:shd w:fill="F9FAFC"/>
            <w:tcMar>
              <w:top w:w="50" w:type="dxa"/>
              <w:bottom w:w="50" w:type="dxa"/>
              <w:left w:w="80" w:type="dxa"/>
              <w:right w:w="80" w:type="dxa"/>
            </w:tcMar>
          </w:tcPr>
          <w:p>
            <w:r>
              <w:rPr>
                <w:rFonts w:ascii="Calibri" w:hAnsi="Calibri"/>
                <w:sz w:val="18"/>
              </w:rPr>
              <w:t>Draft idempotent database migration patch</w:t>
            </w:r>
          </w:p>
        </w:tc>
      </w:tr>
      <w:tr>
        <w:tc>
          <w:tcPr>
            <w:tcW w:type="dxa" w:w="3120"/>
            <w:shd w:fill="FFFFFF"/>
            <w:tcMar>
              <w:top w:w="50" w:type="dxa"/>
              <w:bottom w:w="50" w:type="dxa"/>
              <w:left w:w="80" w:type="dxa"/>
              <w:right w:w="80" w:type="dxa"/>
            </w:tcMar>
          </w:tcPr>
          <w:p>
            <w:r>
              <w:rPr>
                <w:rFonts w:ascii="Consolas" w:hAnsi="Consolas"/>
                <w:b/>
                <w:color w:val="1F4E79"/>
                <w:sz w:val="18"/>
              </w:rPr>
              <w:t>/frappe:report '&lt;name&gt;'</w:t>
            </w:r>
          </w:p>
        </w:tc>
        <w:tc>
          <w:tcPr>
            <w:tcW w:type="dxa" w:w="3120"/>
            <w:shd w:fill="FFFFFF"/>
            <w:tcMar>
              <w:top w:w="50" w:type="dxa"/>
              <w:bottom w:w="50" w:type="dxa"/>
              <w:left w:w="80" w:type="dxa"/>
              <w:right w:w="80" w:type="dxa"/>
            </w:tcMar>
          </w:tcPr>
          <w:p>
            <w:r>
              <w:rPr>
                <w:rFonts w:ascii="Calibri" w:hAnsi="Calibri"/>
                <w:sz w:val="18"/>
              </w:rPr>
              <w:t>frappe-report-builder</w:t>
            </w:r>
          </w:p>
        </w:tc>
        <w:tc>
          <w:tcPr>
            <w:tcW w:type="dxa" w:w="3120"/>
            <w:shd w:fill="FFFFFF"/>
            <w:tcMar>
              <w:top w:w="50" w:type="dxa"/>
              <w:bottom w:w="50" w:type="dxa"/>
              <w:left w:w="80" w:type="dxa"/>
              <w:right w:w="80" w:type="dxa"/>
            </w:tcMar>
          </w:tcPr>
          <w:p>
            <w:r>
              <w:rPr>
                <w:rFonts w:ascii="Calibri" w:hAnsi="Calibri"/>
                <w:sz w:val="18"/>
              </w:rPr>
              <w:t>Scaffold Script Report (Python backend + JS frontend)</w:t>
            </w:r>
          </w:p>
        </w:tc>
      </w:tr>
      <w:tr>
        <w:tc>
          <w:tcPr>
            <w:tcW w:type="dxa" w:w="3120"/>
            <w:shd w:fill="F9FAFC"/>
            <w:tcMar>
              <w:top w:w="50" w:type="dxa"/>
              <w:bottom w:w="50" w:type="dxa"/>
              <w:left w:w="80" w:type="dxa"/>
              <w:right w:w="80" w:type="dxa"/>
            </w:tcMar>
          </w:tcPr>
          <w:p>
            <w:r>
              <w:rPr>
                <w:rFonts w:ascii="Consolas" w:hAnsi="Consolas"/>
                <w:b/>
                <w:color w:val="1F4E79"/>
                <w:sz w:val="18"/>
              </w:rPr>
              <w:t>/frappe:bench [task]</w:t>
            </w:r>
          </w:p>
        </w:tc>
        <w:tc>
          <w:tcPr>
            <w:tcW w:type="dxa" w:w="3120"/>
            <w:shd w:fill="F9FAFC"/>
            <w:tcMar>
              <w:top w:w="50" w:type="dxa"/>
              <w:bottom w:w="50" w:type="dxa"/>
              <w:left w:w="80" w:type="dxa"/>
              <w:right w:w="80" w:type="dxa"/>
            </w:tcMar>
          </w:tcPr>
          <w:p>
            <w:r>
              <w:rPr>
                <w:rFonts w:ascii="Calibri" w:hAnsi="Calibri"/>
                <w:sz w:val="18"/>
              </w:rPr>
              <w:t>frappe-bench-devops</w:t>
            </w:r>
          </w:p>
        </w:tc>
        <w:tc>
          <w:tcPr>
            <w:tcW w:type="dxa" w:w="3120"/>
            <w:shd w:fill="F9FAFC"/>
            <w:tcMar>
              <w:top w:w="50" w:type="dxa"/>
              <w:bottom w:w="50" w:type="dxa"/>
              <w:left w:w="80" w:type="dxa"/>
              <w:right w:w="80" w:type="dxa"/>
            </w:tcMar>
          </w:tcPr>
          <w:p>
            <w:r>
              <w:rPr>
                <w:rFonts w:ascii="Calibri" w:hAnsi="Calibri"/>
                <w:sz w:val="18"/>
              </w:rPr>
              <w:t>Diagnose bench errors and site operations</w:t>
            </w:r>
          </w:p>
        </w:tc>
      </w:tr>
      <w:tr>
        <w:tc>
          <w:tcPr>
            <w:tcW w:type="dxa" w:w="3120"/>
            <w:shd w:fill="FFFFFF"/>
            <w:tcMar>
              <w:top w:w="50" w:type="dxa"/>
              <w:bottom w:w="50" w:type="dxa"/>
              <w:left w:w="80" w:type="dxa"/>
              <w:right w:w="80" w:type="dxa"/>
            </w:tcMar>
          </w:tcPr>
          <w:p>
            <w:r>
              <w:rPr>
                <w:rFonts w:ascii="Consolas" w:hAnsi="Consolas"/>
                <w:b/>
                <w:color w:val="1F4E79"/>
                <w:sz w:val="18"/>
              </w:rPr>
              <w:t>/frappe:help</w:t>
            </w:r>
          </w:p>
        </w:tc>
        <w:tc>
          <w:tcPr>
            <w:tcW w:type="dxa" w:w="3120"/>
            <w:shd w:fill="FFFFFF"/>
            <w:tcMar>
              <w:top w:w="50" w:type="dxa"/>
              <w:bottom w:w="50" w:type="dxa"/>
              <w:left w:w="80" w:type="dxa"/>
              <w:right w:w="80" w:type="dxa"/>
            </w:tcMar>
          </w:tcPr>
          <w:p>
            <w:r>
              <w:rPr>
                <w:rFonts w:ascii="Calibri" w:hAnsi="Calibri"/>
                <w:sz w:val="18"/>
              </w:rPr>
              <w:t>All Agents</w:t>
            </w:r>
          </w:p>
        </w:tc>
        <w:tc>
          <w:tcPr>
            <w:tcW w:type="dxa" w:w="3120"/>
            <w:shd w:fill="FFFFFF"/>
            <w:tcMar>
              <w:top w:w="50" w:type="dxa"/>
              <w:bottom w:w="50" w:type="dxa"/>
              <w:left w:w="80" w:type="dxa"/>
              <w:right w:w="80" w:type="dxa"/>
            </w:tcMar>
          </w:tcPr>
          <w:p>
            <w:r>
              <w:rPr>
                <w:rFonts w:ascii="Calibri" w:hAnsi="Calibri"/>
                <w:sz w:val="18"/>
              </w:rPr>
              <w:t>Display command cheat sheet and quick guidance</w:t>
            </w:r>
          </w:p>
        </w:tc>
      </w:tr>
    </w:tbl>
    <w:p>
      <w:pPr>
        <w:spacing w:after="280"/>
      </w:pPr>
    </w:p>
    <w:tbl>
      <w:tblPr>
        <w:tblW w:type="auto" w:w="0"/>
        <w:jc w:val="center"/>
        <w:tblLook w:firstColumn="1" w:firstRow="1" w:lastColumn="0" w:lastRow="0" w:noHBand="0" w:noVBand="1" w:val="04A0"/>
      </w:tblPr>
      <w:tblGrid>
        <w:gridCol w:w="9360"/>
      </w:tblGrid>
      <w:tr>
        <w:tc>
          <w:tcPr>
            <w:tcW w:type="dxa" w:w="9360"/>
            <w:shd w:fill="EAECEE"/>
            <w:tcMar>
              <w:top w:w="100" w:type="dxa"/>
              <w:bottom w:w="100" w:type="dxa"/>
              <w:left w:w="150" w:type="dxa"/>
              <w:right w:w="150" w:type="dxa"/>
            </w:tcMar>
          </w:tcPr>
          <w:p>
            <w:r>
              <w:rPr>
                <w:rFonts w:ascii="Calibri" w:hAnsi="Calibri"/>
                <w:b/>
                <w:color w:val="505050"/>
                <w:sz w:val="18"/>
              </w:rPr>
              <w:t>APPROVED &amp; ENFORCED BY: Antigravity Systems Engineering Group</w:t>
              <w:br/>
              <w:t>DISTRIBUTION: Open Source / All Engineering Teams</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Document ID: SOP-ENG-FRAPPE-ECC-001  |  Confidential &amp; Internal Engineering Standard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STANDARD OPERATING PROCEDURE | FRAPPE ECC (ENGINEERING COORDINATION CENTER)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808080"/>
      <w:sz w:val="17"/>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808080"/>
      <w:sz w:val="17"/>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