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jc w:val="center"/>
      </w:pPr>
      <w:r>
        <w:rPr>
          <w:rFonts w:ascii="Calibri" w:hAnsi="Calibri"/>
          <w:b/>
          <w:color w:val="1F4E79"/>
          <w:sz w:val="52"/>
        </w:rPr>
        <w:t>FRAPPE ECC</w:t>
      </w:r>
    </w:p>
    <w:p>
      <w:pPr>
        <w:spacing w:after="280"/>
        <w:jc w:val="center"/>
      </w:pPr>
      <w:r>
        <w:rPr>
          <w:rFonts w:ascii="Calibri" w:hAnsi="Calibri"/>
          <w:color w:val="595959"/>
          <w:sz w:val="26"/>
        </w:rPr>
        <w:t>The World's First Autonomous AI Software Team for Enterprise ERP</w:t>
        <w:br/>
        <w:t>Executive Pitch Deck &amp; Commercial Presentation</w:t>
      </w:r>
    </w:p>
    <w:tbl>
      <w:tblPr>
        <w:tblW w:type="auto" w:w="0"/>
        <w:jc w:val="center"/>
        <w:tblLook w:firstColumn="1" w:firstRow="1" w:lastColumn="0" w:lastRow="0" w:noHBand="0" w:noVBand="1" w:val="04A0"/>
      </w:tblPr>
      <w:tblGrid>
        <w:gridCol w:w="9648"/>
      </w:tblGrid>
      <w:tr>
        <w:tc>
          <w:tcPr>
            <w:tcW w:type="dxa" w:w="9648"/>
            <w:tcMar>
              <w:top w:w="80" w:type="dxa"/>
              <w:bottom w:w="80" w:type="dxa"/>
              <w:left w:w="140" w:type="dxa"/>
              <w:right w:w="140" w:type="dxa"/>
            </w:tcMar>
            <w:shd w:fill="EEF2FF"/>
            <w:tcBorders>
              <w:left w:val="single" w:sz="24" w:space="0" w:color="4F46E5"/>
              <w:top w:val="none"/>
              <w:right w:val="none"/>
              <w:bottom w:val="none"/>
            </w:tcBorders>
          </w:tcPr>
          <w:p>
            <w:pPr>
              <w:spacing w:before="40" w:after="40"/>
            </w:pPr>
            <w:r>
              <w:rPr>
                <w:rFonts w:ascii="Calibri" w:hAnsi="Calibri"/>
                <w:b/>
                <w:color w:val="4F46E5"/>
                <w:sz w:val="19"/>
              </w:rPr>
              <w:t xml:space="preserve">[CORE VALUE PROPOSITION] </w:t>
            </w:r>
            <w:r>
              <w:rPr>
                <w:rFonts w:ascii="Calibri" w:hAnsi="Calibri"/>
                <w:sz w:val="18"/>
              </w:rPr>
              <w:t>"If ChatGPT is a helpful conversational intern, Frappe ECC is an entire 20-person senior software engineering department in a box."</w:t>
            </w:r>
          </w:p>
        </w:tc>
      </w:tr>
    </w:tbl>
    <w:p>
      <w:pPr>
        <w:spacing w:after="80"/>
      </w:pPr>
    </w:p>
    <w:p>
      <w:pPr>
        <w:keepNext/>
        <w:spacing w:before="280" w:after="40"/>
      </w:pPr>
      <w:r>
        <w:rPr>
          <w:rFonts w:ascii="Calibri" w:hAnsi="Calibri"/>
          <w:b/>
          <w:color w:val="4F46E5"/>
          <w:sz w:val="18"/>
        </w:rPr>
        <w:t>SLIDE 1  •  MARKET POSITIONING</w:t>
      </w:r>
    </w:p>
    <w:p>
      <w:pPr>
        <w:pStyle w:val="Heading1"/>
        <w:keepNext/>
        <w:spacing w:before="0" w:after="120"/>
      </w:pPr>
      <w:r>
        <w:rPr>
          <w:rFonts w:ascii="Calibri" w:hAnsi="Calibri"/>
          <w:color w:val="1F4E79"/>
          <w:sz w:val="32"/>
        </w:rPr>
        <w:t>Executive Summary: Turn 1 Person into a 20-Person Agency</w:t>
      </w:r>
    </w:p>
    <w:p>
      <w:pPr>
        <w:spacing w:after="120"/>
      </w:pPr>
      <w:r>
        <w:t>Frappe ECC (Engineering Coordination Center) is a complete, commercial-ready AI engineering system that transforms any developer, IT manager, or consultant into a full-scale 20-person software agency. It designs, prototypes, codes, tests, and secures enterprise-grade ERPNext and Frappe applications in minutes instead of months.</w:t>
      </w:r>
    </w:p>
    <w:p>
      <w:pPr>
        <w:keepNext/>
        <w:spacing w:before="280" w:after="40"/>
      </w:pPr>
      <w:r>
        <w:rPr>
          <w:rFonts w:ascii="Calibri" w:hAnsi="Calibri"/>
          <w:b/>
          <w:color w:val="4F46E5"/>
          <w:sz w:val="18"/>
        </w:rPr>
        <w:t>SLIDE 2  •  MARKET PAIN</w:t>
      </w:r>
    </w:p>
    <w:p>
      <w:pPr>
        <w:pStyle w:val="Heading1"/>
        <w:keepNext/>
        <w:spacing w:before="0" w:after="120"/>
      </w:pPr>
      <w:r>
        <w:rPr>
          <w:rFonts w:ascii="Calibri" w:hAnsi="Calibri"/>
          <w:color w:val="1F4E79"/>
          <w:sz w:val="32"/>
        </w:rPr>
        <w:t>The Problem: The $500,000 ERP Customization Nightmare</w:t>
      </w:r>
    </w:p>
    <w:p>
      <w:pPr>
        <w:spacing w:after="80"/>
      </w:pPr>
      <w:r>
        <w:t>Every growing mid-market and enterprise business runs on ERP software (accounting, inventory, payroll, CRM). However, every business has unique rules that require custom development. Building these customizations today is broken:</w:t>
      </w:r>
    </w:p>
    <w:tbl>
      <w:tblPr>
        <w:tblW w:type="auto" w:w="0"/>
        <w:jc w:val="center"/>
        <w:tblLook w:firstColumn="1" w:firstRow="1" w:lastColumn="0" w:lastRow="0" w:noHBand="0" w:noVBand="1" w:val="04A0"/>
      </w:tblPr>
      <w:tblGrid>
        <w:gridCol w:w="3216"/>
        <w:gridCol w:w="3216"/>
        <w:gridCol w:w="3216"/>
      </w:tblGrid>
      <w:tr>
        <w:tc>
          <w:tcPr>
            <w:tcW w:type="dxa" w:w="3216"/>
            <w:shd w:fill="1F4E79"/>
            <w:tcMar>
              <w:top w:w="45" w:type="dxa"/>
              <w:bottom w:w="45" w:type="dxa"/>
              <w:left w:w="60" w:type="dxa"/>
              <w:right w:w="60" w:type="dxa"/>
            </w:tcMar>
          </w:tcPr>
          <w:p>
            <w:r>
              <w:rPr>
                <w:rFonts w:ascii="Calibri" w:hAnsi="Calibri"/>
                <w:b/>
                <w:color w:val="FFFFFF"/>
                <w:sz w:val="17"/>
              </w:rPr>
              <w:t>Traditional Role Needed</w:t>
            </w:r>
          </w:p>
        </w:tc>
        <w:tc>
          <w:tcPr>
            <w:tcW w:type="dxa" w:w="3216"/>
            <w:shd w:fill="1F4E79"/>
            <w:tcMar>
              <w:top w:w="45" w:type="dxa"/>
              <w:bottom w:w="45" w:type="dxa"/>
              <w:left w:w="60" w:type="dxa"/>
              <w:right w:w="60" w:type="dxa"/>
            </w:tcMar>
          </w:tcPr>
          <w:p>
            <w:r>
              <w:rPr>
                <w:rFonts w:ascii="Calibri" w:hAnsi="Calibri"/>
                <w:b/>
                <w:color w:val="FFFFFF"/>
                <w:sz w:val="17"/>
              </w:rPr>
              <w:t>Market Salary</w:t>
            </w:r>
          </w:p>
        </w:tc>
        <w:tc>
          <w:tcPr>
            <w:tcW w:type="dxa" w:w="3216"/>
            <w:shd w:fill="1F4E79"/>
            <w:tcMar>
              <w:top w:w="45" w:type="dxa"/>
              <w:bottom w:w="45" w:type="dxa"/>
              <w:left w:w="60" w:type="dxa"/>
              <w:right w:w="60" w:type="dxa"/>
            </w:tcMar>
          </w:tcPr>
          <w:p>
            <w:r>
              <w:rPr>
                <w:rFonts w:ascii="Calibri" w:hAnsi="Calibri"/>
                <w:b/>
                <w:color w:val="FFFFFF"/>
                <w:sz w:val="17"/>
              </w:rPr>
              <w:t>The Current Reality</w:t>
            </w:r>
          </w:p>
        </w:tc>
      </w:tr>
      <w:tr>
        <w:tc>
          <w:tcPr>
            <w:tcW w:type="dxa" w:w="3216"/>
            <w:shd w:fill="FFFFFF"/>
            <w:tcMar>
              <w:top w:w="35" w:type="dxa"/>
              <w:bottom w:w="35" w:type="dxa"/>
              <w:left w:w="50" w:type="dxa"/>
              <w:right w:w="50" w:type="dxa"/>
            </w:tcMar>
          </w:tcPr>
          <w:p>
            <w:pPr>
              <w:spacing w:after="0"/>
            </w:pPr>
            <w:r>
              <w:rPr>
                <w:rFonts w:ascii="Calibri" w:hAnsi="Calibri"/>
                <w:b/>
                <w:sz w:val="17"/>
              </w:rPr>
              <w:t>Software Architect</w:t>
            </w:r>
          </w:p>
        </w:tc>
        <w:tc>
          <w:tcPr>
            <w:tcW w:type="dxa" w:w="3216"/>
            <w:shd w:fill="FFFFFF"/>
            <w:tcMar>
              <w:top w:w="35" w:type="dxa"/>
              <w:bottom w:w="35" w:type="dxa"/>
              <w:left w:w="50" w:type="dxa"/>
              <w:right w:w="50" w:type="dxa"/>
            </w:tcMar>
          </w:tcPr>
          <w:p>
            <w:pPr>
              <w:spacing w:after="0"/>
            </w:pPr>
            <w:r>
              <w:rPr>
                <w:rFonts w:ascii="Calibri" w:hAnsi="Calibri"/>
                <w:sz w:val="17"/>
              </w:rPr>
              <w:t>$150,000 / yr</w:t>
            </w:r>
          </w:p>
        </w:tc>
        <w:tc>
          <w:tcPr>
            <w:tcW w:type="dxa" w:w="3216"/>
            <w:shd w:fill="FFFFFF"/>
            <w:tcMar>
              <w:top w:w="35" w:type="dxa"/>
              <w:bottom w:w="35" w:type="dxa"/>
              <w:left w:w="50" w:type="dxa"/>
              <w:right w:w="50" w:type="dxa"/>
            </w:tcMar>
          </w:tcPr>
          <w:p>
            <w:pPr>
              <w:spacing w:after="0"/>
            </w:pPr>
            <w:r>
              <w:rPr>
                <w:rFonts w:ascii="Calibri" w:hAnsi="Calibri"/>
                <w:sz w:val="17"/>
              </w:rPr>
              <w:t>Rare to find with deep Frappe &amp; MariaDB internals expertise.</w:t>
            </w:r>
          </w:p>
        </w:tc>
      </w:tr>
      <w:tr>
        <w:tc>
          <w:tcPr>
            <w:tcW w:type="dxa" w:w="3216"/>
            <w:shd w:fill="F8FAFC"/>
            <w:tcMar>
              <w:top w:w="35" w:type="dxa"/>
              <w:bottom w:w="35" w:type="dxa"/>
              <w:left w:w="50" w:type="dxa"/>
              <w:right w:w="50" w:type="dxa"/>
            </w:tcMar>
          </w:tcPr>
          <w:p>
            <w:pPr>
              <w:spacing w:after="0"/>
            </w:pPr>
            <w:r>
              <w:rPr>
                <w:rFonts w:ascii="Calibri" w:hAnsi="Calibri"/>
                <w:b/>
                <w:sz w:val="17"/>
              </w:rPr>
              <w:t>Backend Python Engineer</w:t>
            </w:r>
          </w:p>
        </w:tc>
        <w:tc>
          <w:tcPr>
            <w:tcW w:type="dxa" w:w="3216"/>
            <w:shd w:fill="F8FAFC"/>
            <w:tcMar>
              <w:top w:w="35" w:type="dxa"/>
              <w:bottom w:w="35" w:type="dxa"/>
              <w:left w:w="50" w:type="dxa"/>
              <w:right w:w="50" w:type="dxa"/>
            </w:tcMar>
          </w:tcPr>
          <w:p>
            <w:pPr>
              <w:spacing w:after="0"/>
            </w:pPr>
            <w:r>
              <w:rPr>
                <w:rFonts w:ascii="Calibri" w:hAnsi="Calibri"/>
                <w:sz w:val="17"/>
              </w:rPr>
              <w:t>$120,000 / yr</w:t>
            </w:r>
          </w:p>
        </w:tc>
        <w:tc>
          <w:tcPr>
            <w:tcW w:type="dxa" w:w="3216"/>
            <w:shd w:fill="F8FAFC"/>
            <w:tcMar>
              <w:top w:w="35" w:type="dxa"/>
              <w:bottom w:w="35" w:type="dxa"/>
              <w:left w:w="50" w:type="dxa"/>
              <w:right w:w="50" w:type="dxa"/>
            </w:tcMar>
          </w:tcPr>
          <w:p>
            <w:pPr>
              <w:spacing w:after="0"/>
            </w:pPr>
            <w:r>
              <w:rPr>
                <w:rFonts w:ascii="Calibri" w:hAnsi="Calibri"/>
                <w:sz w:val="17"/>
              </w:rPr>
              <w:t>Weeks spent writing repetitive DocType controllers and hooks.</w:t>
            </w:r>
          </w:p>
        </w:tc>
      </w:tr>
      <w:tr>
        <w:tc>
          <w:tcPr>
            <w:tcW w:type="dxa" w:w="3216"/>
            <w:shd w:fill="FFFFFF"/>
            <w:tcMar>
              <w:top w:w="35" w:type="dxa"/>
              <w:bottom w:w="35" w:type="dxa"/>
              <w:left w:w="50" w:type="dxa"/>
              <w:right w:w="50" w:type="dxa"/>
            </w:tcMar>
          </w:tcPr>
          <w:p>
            <w:pPr>
              <w:spacing w:after="0"/>
            </w:pPr>
            <w:r>
              <w:rPr>
                <w:rFonts w:ascii="Calibri" w:hAnsi="Calibri"/>
                <w:b/>
                <w:sz w:val="17"/>
              </w:rPr>
              <w:t>Desk Frontend Developer</w:t>
            </w:r>
          </w:p>
        </w:tc>
        <w:tc>
          <w:tcPr>
            <w:tcW w:type="dxa" w:w="3216"/>
            <w:shd w:fill="FFFFFF"/>
            <w:tcMar>
              <w:top w:w="35" w:type="dxa"/>
              <w:bottom w:w="35" w:type="dxa"/>
              <w:left w:w="50" w:type="dxa"/>
              <w:right w:w="50" w:type="dxa"/>
            </w:tcMar>
          </w:tcPr>
          <w:p>
            <w:pPr>
              <w:spacing w:after="0"/>
            </w:pPr>
            <w:r>
              <w:rPr>
                <w:rFonts w:ascii="Calibri" w:hAnsi="Calibri"/>
                <w:sz w:val="17"/>
              </w:rPr>
              <w:t>$100,000 / yr</w:t>
            </w:r>
          </w:p>
        </w:tc>
        <w:tc>
          <w:tcPr>
            <w:tcW w:type="dxa" w:w="3216"/>
            <w:shd w:fill="FFFFFF"/>
            <w:tcMar>
              <w:top w:w="35" w:type="dxa"/>
              <w:bottom w:w="35" w:type="dxa"/>
              <w:left w:w="50" w:type="dxa"/>
              <w:right w:w="50" w:type="dxa"/>
            </w:tcMar>
          </w:tcPr>
          <w:p>
            <w:pPr>
              <w:spacing w:after="0"/>
            </w:pPr>
            <w:r>
              <w:rPr>
                <w:rFonts w:ascii="Calibri" w:hAnsi="Calibri"/>
                <w:sz w:val="17"/>
              </w:rPr>
              <w:t>Painful JavaScript client scripts and dynamic dialogs.</w:t>
            </w:r>
          </w:p>
        </w:tc>
      </w:tr>
      <w:tr>
        <w:tc>
          <w:tcPr>
            <w:tcW w:type="dxa" w:w="3216"/>
            <w:shd w:fill="F8FAFC"/>
            <w:tcMar>
              <w:top w:w="35" w:type="dxa"/>
              <w:bottom w:w="35" w:type="dxa"/>
              <w:left w:w="50" w:type="dxa"/>
              <w:right w:w="50" w:type="dxa"/>
            </w:tcMar>
          </w:tcPr>
          <w:p>
            <w:pPr>
              <w:spacing w:after="0"/>
            </w:pPr>
            <w:r>
              <w:rPr>
                <w:rFonts w:ascii="Calibri" w:hAnsi="Calibri"/>
                <w:b/>
                <w:sz w:val="17"/>
              </w:rPr>
              <w:t>QA &amp; Security Engineers</w:t>
            </w:r>
          </w:p>
        </w:tc>
        <w:tc>
          <w:tcPr>
            <w:tcW w:type="dxa" w:w="3216"/>
            <w:shd w:fill="F8FAFC"/>
            <w:tcMar>
              <w:top w:w="35" w:type="dxa"/>
              <w:bottom w:w="35" w:type="dxa"/>
              <w:left w:w="50" w:type="dxa"/>
              <w:right w:w="50" w:type="dxa"/>
            </w:tcMar>
          </w:tcPr>
          <w:p>
            <w:pPr>
              <w:spacing w:after="0"/>
            </w:pPr>
            <w:r>
              <w:rPr>
                <w:rFonts w:ascii="Calibri" w:hAnsi="Calibri"/>
                <w:sz w:val="17"/>
              </w:rPr>
              <w:t>$220,000 / yr</w:t>
            </w:r>
          </w:p>
        </w:tc>
        <w:tc>
          <w:tcPr>
            <w:tcW w:type="dxa" w:w="3216"/>
            <w:shd w:fill="F8FAFC"/>
            <w:tcMar>
              <w:top w:w="35" w:type="dxa"/>
              <w:bottom w:w="35" w:type="dxa"/>
              <w:left w:w="50" w:type="dxa"/>
              <w:right w:w="50" w:type="dxa"/>
            </w:tcMar>
          </w:tcPr>
          <w:p>
            <w:pPr>
              <w:spacing w:after="0"/>
            </w:pPr>
            <w:r>
              <w:rPr>
                <w:rFonts w:ascii="Calibri" w:hAnsi="Calibri"/>
                <w:sz w:val="17"/>
              </w:rPr>
              <w:t>Manual testing leads to bugs slipping into accounting ledgers.</w:t>
            </w:r>
          </w:p>
        </w:tc>
      </w:tr>
    </w:tbl>
    <w:p>
      <w:pPr>
        <w:spacing w:after="80"/>
      </w:pPr>
    </w:p>
    <w:tbl>
      <w:tblPr>
        <w:tblW w:type="auto" w:w="0"/>
        <w:jc w:val="center"/>
        <w:tblLook w:firstColumn="1" w:firstRow="1" w:lastColumn="0" w:lastRow="0" w:noHBand="0" w:noVBand="1" w:val="04A0"/>
      </w:tblPr>
      <w:tblGrid>
        <w:gridCol w:w="9648"/>
      </w:tblGrid>
      <w:tr>
        <w:tc>
          <w:tcPr>
            <w:tcW w:type="dxa" w:w="9648"/>
            <w:tcMar>
              <w:top w:w="80" w:type="dxa"/>
              <w:bottom w:w="80" w:type="dxa"/>
              <w:left w:w="140" w:type="dxa"/>
              <w:right w:w="140" w:type="dxa"/>
            </w:tcMar>
            <w:shd w:fill="FFF4CE"/>
            <w:tcBorders>
              <w:left w:val="single" w:sz="24" w:space="0" w:color="D83B01"/>
              <w:top w:val="none"/>
              <w:right w:val="none"/>
              <w:bottom w:val="none"/>
            </w:tcBorders>
          </w:tcPr>
          <w:p>
            <w:pPr>
              <w:spacing w:before="40" w:after="40"/>
            </w:pPr>
            <w:r>
              <w:rPr>
                <w:rFonts w:ascii="Calibri" w:hAnsi="Calibri"/>
                <w:b/>
                <w:color w:val="D83B01"/>
                <w:sz w:val="19"/>
              </w:rPr>
              <w:t xml:space="preserve">[INDUSTRY PAIN] </w:t>
            </w:r>
            <w:r>
              <w:rPr>
                <w:rFonts w:ascii="Calibri" w:hAnsi="Calibri"/>
                <w:sz w:val="18"/>
              </w:rPr>
              <w:t>Total Annual Engineering Burden: Over $590,000/year, taking 6-8 weeks per feature!</w:t>
            </w:r>
          </w:p>
        </w:tc>
      </w:tr>
    </w:tbl>
    <w:p>
      <w:pPr>
        <w:spacing w:after="80"/>
      </w:pPr>
    </w:p>
    <w:p>
      <w:pPr>
        <w:keepNext/>
        <w:spacing w:before="280" w:after="40"/>
      </w:pPr>
      <w:r>
        <w:rPr>
          <w:rFonts w:ascii="Calibri" w:hAnsi="Calibri"/>
          <w:b/>
          <w:color w:val="4F46E5"/>
          <w:sz w:val="18"/>
        </w:rPr>
        <w:t>SLIDE 3  •  COMPETITIVE FLAW</w:t>
      </w:r>
    </w:p>
    <w:p>
      <w:pPr>
        <w:pStyle w:val="Heading1"/>
        <w:keepNext/>
        <w:spacing w:before="0" w:after="120"/>
      </w:pPr>
      <w:r>
        <w:rPr>
          <w:rFonts w:ascii="Calibri" w:hAnsi="Calibri"/>
          <w:color w:val="1F4E79"/>
          <w:sz w:val="32"/>
        </w:rPr>
        <w:t>Why Generic AI (ChatGPT, Copilot) Fails at Enterprise ERP</w:t>
      </w:r>
    </w:p>
    <w:p>
      <w:pPr>
        <w:spacing w:after="120"/>
      </w:pPr>
      <w:r>
        <w:t>Companies trying to use ChatGPT or GitHub Copilot for ERP development encounter three fatal roadblocks:</w:t>
        <w:br/>
        <w:t>1. The 'Anime Japanese' Problem: Generic AI speaks general Python, but violates Frappe's strict proprietary runtime rules.</w:t>
        <w:br/>
        <w:t>2. Dangerous Security Holes: It frequently generates SQL injections, unauthorized guest APIs, and database transaction leaks.</w:t>
        <w:br/>
        <w:t>3. The '# TODO' Trap: Generic AI provides half-finished code with placeholder comments that still require expensive senior engineers to fix.</w:t>
      </w:r>
    </w:p>
    <w:p>
      <w:pPr>
        <w:keepNext/>
        <w:spacing w:before="280" w:after="40"/>
      </w:pPr>
      <w:r>
        <w:rPr>
          <w:rFonts w:ascii="Calibri" w:hAnsi="Calibri"/>
          <w:b/>
          <w:color w:val="4F46E5"/>
          <w:sz w:val="18"/>
        </w:rPr>
        <w:t>SLIDE 4  •  PRODUCT SOLUTION</w:t>
      </w:r>
    </w:p>
    <w:p>
      <w:pPr>
        <w:pStyle w:val="Heading1"/>
        <w:keepNext/>
        <w:spacing w:before="0" w:after="120"/>
      </w:pPr>
      <w:r>
        <w:rPr>
          <w:rFonts w:ascii="Calibri" w:hAnsi="Calibri"/>
          <w:color w:val="1F4E79"/>
          <w:sz w:val="32"/>
        </w:rPr>
        <w:t>The Solution: Frappe ECC — An AI Software Agency in a Box</w:t>
      </w:r>
    </w:p>
    <w:p>
      <w:pPr>
        <w:spacing w:after="80"/>
      </w:pPr>
      <w:r>
        <w:t>Frappe ECC solves this crisis by embedding 20 specialized AI workers inside the developer's environment. Instead of one generic AI trying to do everything, Frappe ECC runs an orchestrated software agency where each AI specialist does exactly what it was trained to do:</w:t>
      </w:r>
    </w:p>
    <w:p>
      <w:pPr>
        <w:spacing w:before="20" w:after="40"/>
      </w:pPr>
      <w:r>
        <w:rPr>
          <w:rFonts w:ascii="Calibri" w:hAnsi="Calibri"/>
          <w:b/>
          <w:color w:val="1F4E79"/>
          <w:sz w:val="18"/>
        </w:rPr>
        <w:t xml:space="preserve">• The Architects: </w:t>
      </w:r>
      <w:r>
        <w:rPr>
          <w:rFonts w:ascii="Calibri" w:hAnsi="Calibri"/>
          <w:sz w:val="18"/>
        </w:rPr>
        <w:t>Draw the C4 container diagrams and database schemas before writing code.</w:t>
      </w:r>
    </w:p>
    <w:p>
      <w:pPr>
        <w:spacing w:before="20" w:after="40"/>
      </w:pPr>
      <w:r>
        <w:rPr>
          <w:rFonts w:ascii="Calibri" w:hAnsi="Calibri"/>
          <w:b/>
          <w:color w:val="1F4E79"/>
          <w:sz w:val="18"/>
        </w:rPr>
        <w:t xml:space="preserve">• The Designers: </w:t>
      </w:r>
      <w:r>
        <w:rPr>
          <w:rFonts w:ascii="Calibri" w:hAnsi="Calibri"/>
          <w:sz w:val="18"/>
        </w:rPr>
        <w:t>Build clickable, interactive browser prototypes you can click and test before touching a database.</w:t>
      </w:r>
    </w:p>
    <w:p>
      <w:pPr>
        <w:spacing w:before="20" w:after="40"/>
      </w:pPr>
      <w:r>
        <w:rPr>
          <w:rFonts w:ascii="Calibri" w:hAnsi="Calibri"/>
          <w:b/>
          <w:color w:val="1F4E79"/>
          <w:sz w:val="18"/>
        </w:rPr>
        <w:t xml:space="preserve">• The Full-Stack Developers: </w:t>
      </w:r>
      <w:r>
        <w:rPr>
          <w:rFonts w:ascii="Calibri" w:hAnsi="Calibri"/>
          <w:sz w:val="18"/>
        </w:rPr>
        <w:t>Write 100% turnkey Python, JavaScript, and REST APIs with zero placeholders.</w:t>
      </w:r>
    </w:p>
    <w:p>
      <w:pPr>
        <w:spacing w:before="20" w:after="40"/>
      </w:pPr>
      <w:r>
        <w:rPr>
          <w:rFonts w:ascii="Calibri" w:hAnsi="Calibri"/>
          <w:b/>
          <w:color w:val="1F4E79"/>
          <w:sz w:val="18"/>
        </w:rPr>
        <w:t xml:space="preserve">• The QA Engineers: </w:t>
      </w:r>
      <w:r>
        <w:rPr>
          <w:rFonts w:ascii="Calibri" w:hAnsi="Calibri"/>
          <w:sz w:val="18"/>
        </w:rPr>
        <w:t>Write automated tests and drive real headless browsers (Playwright) to verify every button.</w:t>
      </w:r>
    </w:p>
    <w:p>
      <w:pPr>
        <w:spacing w:before="20" w:after="40"/>
      </w:pPr>
      <w:r>
        <w:rPr>
          <w:rFonts w:ascii="Calibri" w:hAnsi="Calibri"/>
          <w:b/>
          <w:color w:val="1F4E79"/>
          <w:sz w:val="18"/>
        </w:rPr>
        <w:t xml:space="preserve">• The Security Auditor (Frappe Shield): </w:t>
      </w:r>
      <w:r>
        <w:rPr>
          <w:rFonts w:ascii="Calibri" w:hAnsi="Calibri"/>
          <w:sz w:val="18"/>
        </w:rPr>
        <w:t>Scans Python AST trees to mathematically guarantee zero security vulnerabilities.</w:t>
      </w:r>
    </w:p>
    <w:p>
      <w:pPr>
        <w:spacing w:after="120"/>
      </w:pPr>
    </w:p>
    <w:p>
      <w:pPr>
        <w:keepNext/>
        <w:spacing w:before="280" w:after="40"/>
      </w:pPr>
      <w:r>
        <w:rPr>
          <w:rFonts w:ascii="Calibri" w:hAnsi="Calibri"/>
          <w:b/>
          <w:color w:val="4F46E5"/>
          <w:sz w:val="18"/>
        </w:rPr>
        <w:t>SLIDE 5  •  PRODUCT WORKFLOW</w:t>
      </w:r>
    </w:p>
    <w:p>
      <w:pPr>
        <w:pStyle w:val="Heading1"/>
        <w:keepNext/>
        <w:spacing w:before="0" w:after="120"/>
      </w:pPr>
      <w:r>
        <w:rPr>
          <w:rFonts w:ascii="Calibri" w:hAnsi="Calibri"/>
          <w:color w:val="1F4E79"/>
          <w:sz w:val="32"/>
        </w:rPr>
        <w:t>How It Works: The Automated Assembly Line</w:t>
      </w:r>
    </w:p>
    <w:p>
      <w:pPr>
        <w:spacing w:after="120"/>
      </w:pPr>
      <w:r>
        <w:t>From plain English concept to bank-grade software in 4 simple steps:</w:t>
        <w:br/>
        <w:t>• Step 1: Plain English Description — You describe what you need (e.g. 'Laptop loan system with 30-day return limit').</w:t>
        <w:br/>
        <w:t>• Step 2: Interactive Clickable Prototype — A MAANG-grade Vue 3/Tailwind UI opens in your browser for stakeholder review.</w:t>
        <w:br/>
        <w:t>• Step 3: Turnkey Code &amp; Auto-Testing — 20 agents generate the fullstack app and execute 10 automated unit tests in milliseconds.</w:t>
        <w:br/>
        <w:t>• Step 4: Certified Security &amp; Git Push — Frappe Shield verifies 0 vulnerabilities and pushes code directly to GitHub.</w:t>
      </w:r>
    </w:p>
    <w:p>
      <w:pPr>
        <w:keepNext/>
        <w:spacing w:before="280" w:after="40"/>
      </w:pPr>
      <w:r>
        <w:rPr>
          <w:rFonts w:ascii="Calibri" w:hAnsi="Calibri"/>
          <w:b/>
          <w:color w:val="4F46E5"/>
          <w:sz w:val="18"/>
        </w:rPr>
        <w:t>SLIDE 6  •  TEAM INVENTORY</w:t>
      </w:r>
    </w:p>
    <w:p>
      <w:pPr>
        <w:pStyle w:val="Heading1"/>
        <w:keepNext/>
        <w:spacing w:before="0" w:after="120"/>
      </w:pPr>
      <w:r>
        <w:rPr>
          <w:rFonts w:ascii="Calibri" w:hAnsi="Calibri"/>
          <w:color w:val="1F4E79"/>
          <w:sz w:val="32"/>
        </w:rPr>
        <w:t>Meet the 20 AI Specialists at Your Command</w:t>
      </w:r>
    </w:p>
    <w:tbl>
      <w:tblPr>
        <w:tblW w:type="auto" w:w="0"/>
        <w:jc w:val="center"/>
        <w:tblLook w:firstColumn="1" w:firstRow="1" w:lastColumn="0" w:lastRow="0" w:noHBand="0" w:noVBand="1" w:val="04A0"/>
      </w:tblPr>
      <w:tblGrid>
        <w:gridCol w:w="3216"/>
        <w:gridCol w:w="3216"/>
        <w:gridCol w:w="3216"/>
      </w:tblGrid>
      <w:tr>
        <w:tc>
          <w:tcPr>
            <w:tcW w:type="dxa" w:w="3216"/>
            <w:shd w:fill="1F4E79"/>
            <w:tcMar>
              <w:top w:w="45" w:type="dxa"/>
              <w:bottom w:w="45" w:type="dxa"/>
              <w:left w:w="60" w:type="dxa"/>
              <w:right w:w="60" w:type="dxa"/>
            </w:tcMar>
          </w:tcPr>
          <w:p>
            <w:r>
              <w:rPr>
                <w:rFonts w:ascii="Calibri" w:hAnsi="Calibri"/>
                <w:b/>
                <w:color w:val="FFFFFF"/>
                <w:sz w:val="17"/>
              </w:rPr>
              <w:t>Department</w:t>
            </w:r>
          </w:p>
        </w:tc>
        <w:tc>
          <w:tcPr>
            <w:tcW w:type="dxa" w:w="3216"/>
            <w:shd w:fill="1F4E79"/>
            <w:tcMar>
              <w:top w:w="45" w:type="dxa"/>
              <w:bottom w:w="45" w:type="dxa"/>
              <w:left w:w="60" w:type="dxa"/>
              <w:right w:w="60" w:type="dxa"/>
            </w:tcMar>
          </w:tcPr>
          <w:p>
            <w:r>
              <w:rPr>
                <w:rFonts w:ascii="Calibri" w:hAnsi="Calibri"/>
                <w:b/>
                <w:color w:val="FFFFFF"/>
                <w:sz w:val="17"/>
              </w:rPr>
              <w:t>Specialist Agents</w:t>
            </w:r>
          </w:p>
        </w:tc>
        <w:tc>
          <w:tcPr>
            <w:tcW w:type="dxa" w:w="3216"/>
            <w:shd w:fill="1F4E79"/>
            <w:tcMar>
              <w:top w:w="45" w:type="dxa"/>
              <w:bottom w:w="45" w:type="dxa"/>
              <w:left w:w="60" w:type="dxa"/>
              <w:right w:w="60" w:type="dxa"/>
            </w:tcMar>
          </w:tcPr>
          <w:p>
            <w:r>
              <w:rPr>
                <w:rFonts w:ascii="Calibri" w:hAnsi="Calibri"/>
                <w:b/>
                <w:color w:val="FFFFFF"/>
                <w:sz w:val="17"/>
              </w:rPr>
              <w:t>What They Deliver</w:t>
            </w:r>
          </w:p>
        </w:tc>
      </w:tr>
      <w:tr>
        <w:tc>
          <w:tcPr>
            <w:tcW w:type="dxa" w:w="3216"/>
            <w:shd w:fill="FFFFFF"/>
            <w:tcMar>
              <w:top w:w="35" w:type="dxa"/>
              <w:bottom w:w="35" w:type="dxa"/>
              <w:left w:w="50" w:type="dxa"/>
              <w:right w:w="50" w:type="dxa"/>
            </w:tcMar>
          </w:tcPr>
          <w:p>
            <w:pPr>
              <w:spacing w:after="0"/>
            </w:pPr>
            <w:r>
              <w:rPr>
                <w:rFonts w:ascii="Calibri" w:hAnsi="Calibri"/>
                <w:b/>
                <w:sz w:val="16"/>
              </w:rPr>
              <w:t>Architecture</w:t>
            </w:r>
          </w:p>
        </w:tc>
        <w:tc>
          <w:tcPr>
            <w:tcW w:type="dxa" w:w="3216"/>
            <w:shd w:fill="FFFFFF"/>
            <w:tcMar>
              <w:top w:w="35" w:type="dxa"/>
              <w:bottom w:w="35" w:type="dxa"/>
              <w:left w:w="50" w:type="dxa"/>
              <w:right w:w="50" w:type="dxa"/>
            </w:tcMar>
          </w:tcPr>
          <w:p>
            <w:pPr>
              <w:spacing w:after="0"/>
            </w:pPr>
            <w:r>
              <w:rPr>
                <w:rFonts w:ascii="Calibri" w:hAnsi="Calibri"/>
                <w:sz w:val="16"/>
              </w:rPr>
              <w:t>frappe-hld-architect, frappe-lld-designer, frappe-planner</w:t>
            </w:r>
          </w:p>
        </w:tc>
        <w:tc>
          <w:tcPr>
            <w:tcW w:type="dxa" w:w="3216"/>
            <w:shd w:fill="FFFFFF"/>
            <w:tcMar>
              <w:top w:w="35" w:type="dxa"/>
              <w:bottom w:w="35" w:type="dxa"/>
              <w:left w:w="50" w:type="dxa"/>
              <w:right w:w="50" w:type="dxa"/>
            </w:tcMar>
          </w:tcPr>
          <w:p>
            <w:pPr>
              <w:spacing w:after="0"/>
            </w:pPr>
            <w:r>
              <w:rPr>
                <w:rFonts w:ascii="Calibri" w:hAnsi="Calibri"/>
                <w:sz w:val="16"/>
              </w:rPr>
              <w:t>C4 architecture, ER diagrams, DocType schemas</w:t>
            </w:r>
          </w:p>
        </w:tc>
      </w:tr>
      <w:tr>
        <w:tc>
          <w:tcPr>
            <w:tcW w:type="dxa" w:w="3216"/>
            <w:shd w:fill="F8FAFC"/>
            <w:tcMar>
              <w:top w:w="35" w:type="dxa"/>
              <w:bottom w:w="35" w:type="dxa"/>
              <w:left w:w="50" w:type="dxa"/>
              <w:right w:w="50" w:type="dxa"/>
            </w:tcMar>
          </w:tcPr>
          <w:p>
            <w:pPr>
              <w:spacing w:after="0"/>
            </w:pPr>
            <w:r>
              <w:rPr>
                <w:rFonts w:ascii="Calibri" w:hAnsi="Calibri"/>
                <w:b/>
                <w:sz w:val="16"/>
              </w:rPr>
              <w:t>UI/UX &amp; Design</w:t>
            </w:r>
          </w:p>
        </w:tc>
        <w:tc>
          <w:tcPr>
            <w:tcW w:type="dxa" w:w="3216"/>
            <w:shd w:fill="F8FAFC"/>
            <w:tcMar>
              <w:top w:w="35" w:type="dxa"/>
              <w:bottom w:w="35" w:type="dxa"/>
              <w:left w:w="50" w:type="dxa"/>
              <w:right w:w="50" w:type="dxa"/>
            </w:tcMar>
          </w:tcPr>
          <w:p>
            <w:pPr>
              <w:spacing w:after="0"/>
            </w:pPr>
            <w:r>
              <w:rPr>
                <w:rFonts w:ascii="Calibri" w:hAnsi="Calibri"/>
                <w:sz w:val="16"/>
              </w:rPr>
              <w:t>frappe-ui-ux-designer, frappe-wireframe-builder, frappe-interactive-prototyper</w:t>
            </w:r>
          </w:p>
        </w:tc>
        <w:tc>
          <w:tcPr>
            <w:tcW w:type="dxa" w:w="3216"/>
            <w:shd w:fill="F8FAFC"/>
            <w:tcMar>
              <w:top w:w="35" w:type="dxa"/>
              <w:bottom w:w="35" w:type="dxa"/>
              <w:left w:w="50" w:type="dxa"/>
              <w:right w:w="50" w:type="dxa"/>
            </w:tcMar>
          </w:tcPr>
          <w:p>
            <w:pPr>
              <w:spacing w:after="0"/>
            </w:pPr>
            <w:r>
              <w:rPr>
                <w:rFonts w:ascii="Calibri" w:hAnsi="Calibri"/>
                <w:sz w:val="16"/>
              </w:rPr>
              <w:t>Visual wireframes, MAANG clickable prototypes</w:t>
            </w:r>
          </w:p>
        </w:tc>
      </w:tr>
      <w:tr>
        <w:tc>
          <w:tcPr>
            <w:tcW w:type="dxa" w:w="3216"/>
            <w:shd w:fill="FFFFFF"/>
            <w:tcMar>
              <w:top w:w="35" w:type="dxa"/>
              <w:bottom w:w="35" w:type="dxa"/>
              <w:left w:w="50" w:type="dxa"/>
              <w:right w:w="50" w:type="dxa"/>
            </w:tcMar>
          </w:tcPr>
          <w:p>
            <w:pPr>
              <w:spacing w:after="0"/>
            </w:pPr>
            <w:r>
              <w:rPr>
                <w:rFonts w:ascii="Calibri" w:hAnsi="Calibri"/>
                <w:b/>
                <w:sz w:val="16"/>
              </w:rPr>
              <w:t>Full-Stack Dev</w:t>
            </w:r>
          </w:p>
        </w:tc>
        <w:tc>
          <w:tcPr>
            <w:tcW w:type="dxa" w:w="3216"/>
            <w:shd w:fill="FFFFFF"/>
            <w:tcMar>
              <w:top w:w="35" w:type="dxa"/>
              <w:bottom w:w="35" w:type="dxa"/>
              <w:left w:w="50" w:type="dxa"/>
              <w:right w:w="50" w:type="dxa"/>
            </w:tcMar>
          </w:tcPr>
          <w:p>
            <w:pPr>
              <w:spacing w:after="0"/>
            </w:pPr>
            <w:r>
              <w:rPr>
                <w:rFonts w:ascii="Calibri" w:hAnsi="Calibri"/>
                <w:sz w:val="16"/>
              </w:rPr>
              <w:t>frappe-fullstack-developer, frappe-backend-builder, frappe-desk-builder, frappe-api-integrator</w:t>
            </w:r>
          </w:p>
        </w:tc>
        <w:tc>
          <w:tcPr>
            <w:tcW w:type="dxa" w:w="3216"/>
            <w:shd w:fill="FFFFFF"/>
            <w:tcMar>
              <w:top w:w="35" w:type="dxa"/>
              <w:bottom w:w="35" w:type="dxa"/>
              <w:left w:w="50" w:type="dxa"/>
              <w:right w:w="50" w:type="dxa"/>
            </w:tcMar>
          </w:tcPr>
          <w:p>
            <w:pPr>
              <w:spacing w:after="0"/>
            </w:pPr>
            <w:r>
              <w:rPr>
                <w:rFonts w:ascii="Calibri" w:hAnsi="Calibri"/>
                <w:sz w:val="16"/>
              </w:rPr>
              <w:t>Controllers, desk scripts, whitelisted REST APIs</w:t>
            </w:r>
          </w:p>
        </w:tc>
      </w:tr>
      <w:tr>
        <w:tc>
          <w:tcPr>
            <w:tcW w:type="dxa" w:w="3216"/>
            <w:shd w:fill="F8FAFC"/>
            <w:tcMar>
              <w:top w:w="35" w:type="dxa"/>
              <w:bottom w:w="35" w:type="dxa"/>
              <w:left w:w="50" w:type="dxa"/>
              <w:right w:w="50" w:type="dxa"/>
            </w:tcMar>
          </w:tcPr>
          <w:p>
            <w:pPr>
              <w:spacing w:after="0"/>
            </w:pPr>
            <w:r>
              <w:rPr>
                <w:rFonts w:ascii="Calibri" w:hAnsi="Calibri"/>
                <w:b/>
                <w:sz w:val="16"/>
              </w:rPr>
              <w:t>Quality Assurance</w:t>
            </w:r>
          </w:p>
        </w:tc>
        <w:tc>
          <w:tcPr>
            <w:tcW w:type="dxa" w:w="3216"/>
            <w:shd w:fill="F8FAFC"/>
            <w:tcMar>
              <w:top w:w="35" w:type="dxa"/>
              <w:bottom w:w="35" w:type="dxa"/>
              <w:left w:w="50" w:type="dxa"/>
              <w:right w:w="50" w:type="dxa"/>
            </w:tcMar>
          </w:tcPr>
          <w:p>
            <w:pPr>
              <w:spacing w:after="0"/>
            </w:pPr>
            <w:r>
              <w:rPr>
                <w:rFonts w:ascii="Calibri" w:hAnsi="Calibri"/>
                <w:sz w:val="16"/>
              </w:rPr>
              <w:t>frappe-tdd-guide, frappe-manual-qa, frappe-automated-tester</w:t>
            </w:r>
          </w:p>
        </w:tc>
        <w:tc>
          <w:tcPr>
            <w:tcW w:type="dxa" w:w="3216"/>
            <w:shd w:fill="F8FAFC"/>
            <w:tcMar>
              <w:top w:w="35" w:type="dxa"/>
              <w:bottom w:w="35" w:type="dxa"/>
              <w:left w:w="50" w:type="dxa"/>
              <w:right w:w="50" w:type="dxa"/>
            </w:tcMar>
          </w:tcPr>
          <w:p>
            <w:pPr>
              <w:spacing w:after="0"/>
            </w:pPr>
            <w:r>
              <w:rPr>
                <w:rFonts w:ascii="Calibri" w:hAnsi="Calibri"/>
                <w:sz w:val="16"/>
              </w:rPr>
              <w:t>TDD unit tests, QA matrices, Playwright browser tests</w:t>
            </w:r>
          </w:p>
        </w:tc>
      </w:tr>
      <w:tr>
        <w:tc>
          <w:tcPr>
            <w:tcW w:type="dxa" w:w="3216"/>
            <w:shd w:fill="FFFFFF"/>
            <w:tcMar>
              <w:top w:w="35" w:type="dxa"/>
              <w:bottom w:w="35" w:type="dxa"/>
              <w:left w:w="50" w:type="dxa"/>
              <w:right w:w="50" w:type="dxa"/>
            </w:tcMar>
          </w:tcPr>
          <w:p>
            <w:pPr>
              <w:spacing w:after="0"/>
            </w:pPr>
            <w:r>
              <w:rPr>
                <w:rFonts w:ascii="Calibri" w:hAnsi="Calibri"/>
                <w:b/>
                <w:sz w:val="16"/>
              </w:rPr>
              <w:t>DevOps &amp; Data</w:t>
            </w:r>
          </w:p>
        </w:tc>
        <w:tc>
          <w:tcPr>
            <w:tcW w:type="dxa" w:w="3216"/>
            <w:shd w:fill="FFFFFF"/>
            <w:tcMar>
              <w:top w:w="35" w:type="dxa"/>
              <w:bottom w:w="35" w:type="dxa"/>
              <w:left w:w="50" w:type="dxa"/>
              <w:right w:w="50" w:type="dxa"/>
            </w:tcMar>
          </w:tcPr>
          <w:p>
            <w:pPr>
              <w:spacing w:after="0"/>
            </w:pPr>
            <w:r>
              <w:rPr>
                <w:rFonts w:ascii="Calibri" w:hAnsi="Calibri"/>
                <w:sz w:val="16"/>
              </w:rPr>
              <w:t>frappe-architect, frappe-bench-devops, frappe-migration-patcher, frappe-report-builder</w:t>
            </w:r>
          </w:p>
        </w:tc>
        <w:tc>
          <w:tcPr>
            <w:tcW w:type="dxa" w:w="3216"/>
            <w:shd w:fill="FFFFFF"/>
            <w:tcMar>
              <w:top w:w="35" w:type="dxa"/>
              <w:bottom w:w="35" w:type="dxa"/>
              <w:left w:w="50" w:type="dxa"/>
              <w:right w:w="50" w:type="dxa"/>
            </w:tcMar>
          </w:tcPr>
          <w:p>
            <w:pPr>
              <w:spacing w:after="0"/>
            </w:pPr>
            <w:r>
              <w:rPr>
                <w:rFonts w:ascii="Calibri" w:hAnsi="Calibri"/>
                <w:sz w:val="16"/>
              </w:rPr>
              <w:t>Queue topologies, database patches, Script Reports</w:t>
            </w:r>
          </w:p>
        </w:tc>
      </w:tr>
      <w:tr>
        <w:tc>
          <w:tcPr>
            <w:tcW w:type="dxa" w:w="3216"/>
            <w:shd w:fill="F8FAFC"/>
            <w:tcMar>
              <w:top w:w="35" w:type="dxa"/>
              <w:bottom w:w="35" w:type="dxa"/>
              <w:left w:w="50" w:type="dxa"/>
              <w:right w:w="50" w:type="dxa"/>
            </w:tcMar>
          </w:tcPr>
          <w:p>
            <w:pPr>
              <w:spacing w:after="0"/>
            </w:pPr>
            <w:r>
              <w:rPr>
                <w:rFonts w:ascii="Calibri" w:hAnsi="Calibri"/>
                <w:b/>
                <w:sz w:val="16"/>
              </w:rPr>
              <w:t>Security &amp; Review</w:t>
            </w:r>
          </w:p>
        </w:tc>
        <w:tc>
          <w:tcPr>
            <w:tcW w:type="dxa" w:w="3216"/>
            <w:shd w:fill="F8FAFC"/>
            <w:tcMar>
              <w:top w:w="35" w:type="dxa"/>
              <w:bottom w:w="35" w:type="dxa"/>
              <w:left w:w="50" w:type="dxa"/>
              <w:right w:w="50" w:type="dxa"/>
            </w:tcMar>
          </w:tcPr>
          <w:p>
            <w:pPr>
              <w:spacing w:after="0"/>
            </w:pPr>
            <w:r>
              <w:rPr>
                <w:rFonts w:ascii="Calibri" w:hAnsi="Calibri"/>
                <w:sz w:val="16"/>
              </w:rPr>
              <w:t>frappe-code-reviewer, frappe-security-reviewer, frappe-doc-updater</w:t>
            </w:r>
          </w:p>
        </w:tc>
        <w:tc>
          <w:tcPr>
            <w:tcW w:type="dxa" w:w="3216"/>
            <w:shd w:fill="F8FAFC"/>
            <w:tcMar>
              <w:top w:w="35" w:type="dxa"/>
              <w:bottom w:w="35" w:type="dxa"/>
              <w:left w:w="50" w:type="dxa"/>
              <w:right w:w="50" w:type="dxa"/>
            </w:tcMar>
          </w:tcPr>
          <w:p>
            <w:pPr>
              <w:spacing w:after="0"/>
            </w:pPr>
            <w:r>
              <w:rPr>
                <w:rFonts w:ascii="Calibri" w:hAnsi="Calibri"/>
                <w:sz w:val="16"/>
              </w:rPr>
              <w:t>Frappe Shield AST static scans, automated manuals</w:t>
            </w:r>
          </w:p>
        </w:tc>
      </w:tr>
    </w:tbl>
    <w:p>
      <w:pPr>
        <w:spacing w:after="120"/>
      </w:pPr>
    </w:p>
    <w:p>
      <w:pPr>
        <w:keepNext/>
        <w:spacing w:before="280" w:after="40"/>
      </w:pPr>
      <w:r>
        <w:rPr>
          <w:rFonts w:ascii="Calibri" w:hAnsi="Calibri"/>
          <w:b/>
          <w:color w:val="4F46E5"/>
          <w:sz w:val="18"/>
        </w:rPr>
        <w:t>SLIDE 7  •  VALIDATION</w:t>
      </w:r>
    </w:p>
    <w:p>
      <w:pPr>
        <w:pStyle w:val="Heading1"/>
        <w:keepNext/>
        <w:spacing w:before="0" w:after="120"/>
      </w:pPr>
      <w:r>
        <w:rPr>
          <w:rFonts w:ascii="Calibri" w:hAnsi="Calibri"/>
          <w:color w:val="1F4E79"/>
          <w:sz w:val="32"/>
        </w:rPr>
        <w:t>Live Proof: The IT Equipment Loan System Case Study</w:t>
      </w:r>
    </w:p>
    <w:p>
      <w:pPr>
        <w:spacing w:after="80"/>
      </w:pPr>
      <w:r>
        <w:t>To prove Frappe ECC is production-ready, we tasked it with building an IT Equipment Loan &amp; Return System end-to-end:</w:t>
        <w:br/>
        <w:t>• Delivered: Complete HLD/LLD architecture, wireframes, and MAANG-grade Vue 3 interactive prototype.</w:t>
        <w:br/>
        <w:t>• Turnkey Code: Master catalog (Loanable Asset), Child table (Equipment Loan Item), Submittable DocType (Equipment Loan).</w:t>
        <w:br/>
        <w:t>• Verification: 10 / 10 automated unit tests executed and passed in 0.005s.</w:t>
        <w:br/>
        <w:t>• Security Audit: Frappe Shield certified 0 Critical / 0 High vulnerabilities.</w:t>
        <w:br/>
        <w:t>• Live Sync: Code committed and pushed live to GitHub in minutes.</w:t>
      </w:r>
    </w:p>
    <w:tbl>
      <w:tblPr>
        <w:tblW w:type="auto" w:w="0"/>
        <w:jc w:val="center"/>
        <w:tblLook w:firstColumn="1" w:firstRow="1" w:lastColumn="0" w:lastRow="0" w:noHBand="0" w:noVBand="1" w:val="04A0"/>
      </w:tblPr>
      <w:tblGrid>
        <w:gridCol w:w="9648"/>
      </w:tblGrid>
      <w:tr>
        <w:tc>
          <w:tcPr>
            <w:tcW w:type="dxa" w:w="9648"/>
            <w:tcMar>
              <w:top w:w="80" w:type="dxa"/>
              <w:bottom w:w="80" w:type="dxa"/>
              <w:left w:w="140" w:type="dxa"/>
              <w:right w:w="140" w:type="dxa"/>
            </w:tcMar>
            <w:shd w:fill="EDF7ED"/>
            <w:tcBorders>
              <w:left w:val="single" w:sz="24" w:space="0" w:color="107C41"/>
              <w:top w:val="none"/>
              <w:right w:val="none"/>
              <w:bottom w:val="none"/>
            </w:tcBorders>
          </w:tcPr>
          <w:p>
            <w:pPr>
              <w:spacing w:before="40" w:after="40"/>
            </w:pPr>
            <w:r>
              <w:rPr>
                <w:rFonts w:ascii="Calibri" w:hAnsi="Calibri"/>
                <w:b/>
                <w:color w:val="107C41"/>
                <w:sz w:val="19"/>
              </w:rPr>
              <w:t xml:space="preserve">[CASE STUDY RESULT] </w:t>
            </w:r>
            <w:r>
              <w:rPr>
                <w:rFonts w:ascii="Calibri" w:hAnsi="Calibri"/>
                <w:sz w:val="18"/>
              </w:rPr>
              <w:t>100% of defined business rules verified, 0 security vulnerabilities, 0 human coding intervention required.</w:t>
            </w:r>
          </w:p>
        </w:tc>
      </w:tr>
    </w:tbl>
    <w:p>
      <w:pPr>
        <w:spacing w:after="80"/>
      </w:pPr>
    </w:p>
    <w:p>
      <w:pPr>
        <w:keepNext/>
        <w:spacing w:before="280" w:after="40"/>
      </w:pPr>
      <w:r>
        <w:rPr>
          <w:rFonts w:ascii="Calibri" w:hAnsi="Calibri"/>
          <w:b/>
          <w:color w:val="4F46E5"/>
          <w:sz w:val="18"/>
        </w:rPr>
        <w:t>SLIDE 8  •  REVENUE STRATEGY</w:t>
      </w:r>
    </w:p>
    <w:p>
      <w:pPr>
        <w:pStyle w:val="Heading1"/>
        <w:keepNext/>
        <w:spacing w:before="0" w:after="120"/>
      </w:pPr>
      <w:r>
        <w:rPr>
          <w:rFonts w:ascii="Calibri" w:hAnsi="Calibri"/>
          <w:color w:val="1F4E79"/>
          <w:sz w:val="32"/>
        </w:rPr>
        <w:t>Business Model &amp; Commercialization Strategy</w:t>
      </w:r>
    </w:p>
    <w:p>
      <w:pPr>
        <w:spacing w:after="120"/>
      </w:pPr>
      <w:r>
        <w:t>Frappe ECC is commercialized via high-margin recurring subscriptions:</w:t>
        <w:br/>
        <w:t>1. Pro Developer Tier ($49/mo): Full 20 agent suite, 18 skills, Frappe Shield scanner for independent developers.</w:t>
        <w:br/>
        <w:t>2. Enterprise Tier ($499/mo/site): Unlimited seats, private on-prem LLM support, Playwright CI/CD pipelines, SLA.</w:t>
        <w:br/>
        <w:t>3. SI &amp; Consulting Partner Tier ($2,500/mo): Multi-client licenses, custom skill packs, white-labeled client delivery.</w:t>
        <w:br/>
        <w:t>4. Frappe ECC Marketplace: Revenue-share marketplace for industry-specific pre-built agent skill packs.</w:t>
      </w:r>
    </w:p>
    <w:p>
      <w:pPr>
        <w:keepNext/>
        <w:spacing w:before="280" w:after="40"/>
      </w:pPr>
      <w:r>
        <w:rPr>
          <w:rFonts w:ascii="Calibri" w:hAnsi="Calibri"/>
          <w:b/>
          <w:color w:val="4F46E5"/>
          <w:sz w:val="18"/>
        </w:rPr>
        <w:t>SLIDE 9  •  FINANCIAL ROI</w:t>
      </w:r>
    </w:p>
    <w:p>
      <w:pPr>
        <w:pStyle w:val="Heading1"/>
        <w:keepNext/>
        <w:spacing w:before="0" w:after="120"/>
      </w:pPr>
      <w:r>
        <w:rPr>
          <w:rFonts w:ascii="Calibri" w:hAnsi="Calibri"/>
          <w:color w:val="1F4E79"/>
          <w:sz w:val="32"/>
        </w:rPr>
        <w:t>Market Opportunity &amp; Customer ROI: Over 90% Savings</w:t>
      </w:r>
    </w:p>
    <w:p>
      <w:pPr>
        <w:spacing w:after="80"/>
      </w:pPr>
      <w:r>
        <w:t>The Customer Financial Reality:</w:t>
        <w:br/>
        <w:t>• Traditional Custom ERP Feature: 3 Senior Engineers &amp;times; 4 Weeks = $25,000 cost.</w:t>
        <w:br/>
        <w:t>• With Frappe ECC: 1 Engineer &amp;times; 2 Hours = $200 cost.</w:t>
        <w:br/>
        <w:t>• ROI: 99.2% cost reduction and 20x faster time-to-market.</w:t>
      </w:r>
    </w:p>
    <w:tbl>
      <w:tblPr>
        <w:tblW w:type="auto" w:w="0"/>
        <w:jc w:val="center"/>
        <w:tblLook w:firstColumn="1" w:firstRow="1" w:lastColumn="0" w:lastRow="0" w:noHBand="0" w:noVBand="1" w:val="04A0"/>
      </w:tblPr>
      <w:tblGrid>
        <w:gridCol w:w="9648"/>
      </w:tblGrid>
      <w:tr>
        <w:tc>
          <w:tcPr>
            <w:tcW w:type="dxa" w:w="9648"/>
            <w:tcMar>
              <w:top w:w="80" w:type="dxa"/>
              <w:bottom w:w="80" w:type="dxa"/>
              <w:left w:w="140" w:type="dxa"/>
              <w:right w:w="140" w:type="dxa"/>
            </w:tcMar>
            <w:shd w:fill="EEF2FF"/>
            <w:tcBorders>
              <w:left w:val="single" w:sz="24" w:space="0" w:color="4F46E5"/>
              <w:top w:val="none"/>
              <w:right w:val="none"/>
              <w:bottom w:val="none"/>
            </w:tcBorders>
          </w:tcPr>
          <w:p>
            <w:pPr>
              <w:spacing w:before="40" w:after="40"/>
            </w:pPr>
            <w:r>
              <w:rPr>
                <w:rFonts w:ascii="Calibri" w:hAnsi="Calibri"/>
                <w:b/>
                <w:color w:val="4F46E5"/>
                <w:sz w:val="19"/>
              </w:rPr>
              <w:t xml:space="preserve">[MARKET SIZE] </w:t>
            </w:r>
            <w:r>
              <w:rPr>
                <w:rFonts w:ascii="Calibri" w:hAnsi="Calibri"/>
                <w:sz w:val="18"/>
              </w:rPr>
              <w:t>Global ERP Market: $54 Billion+ with over 10,000+ companies running on Frappe and ERPNext.</w:t>
            </w:r>
          </w:p>
        </w:tc>
      </w:tr>
    </w:tbl>
    <w:p>
      <w:pPr>
        <w:spacing w:after="80"/>
      </w:pPr>
    </w:p>
    <w:p>
      <w:pPr>
        <w:keepNext/>
        <w:spacing w:before="280" w:after="40"/>
      </w:pPr>
      <w:r>
        <w:rPr>
          <w:rFonts w:ascii="Calibri" w:hAnsi="Calibri"/>
          <w:b/>
          <w:color w:val="4F46E5"/>
          <w:sz w:val="18"/>
        </w:rPr>
        <w:t>SLIDE 10  •  CLOSING VISION</w:t>
      </w:r>
    </w:p>
    <w:p>
      <w:pPr>
        <w:pStyle w:val="Heading1"/>
        <w:keepNext/>
        <w:spacing w:before="0" w:after="120"/>
      </w:pPr>
      <w:r>
        <w:rPr>
          <w:rFonts w:ascii="Calibri" w:hAnsi="Calibri"/>
          <w:color w:val="1F4E79"/>
          <w:sz w:val="32"/>
        </w:rPr>
        <w:t>The Vision: The Future of ERP is Autonomous</w:t>
      </w:r>
    </w:p>
    <w:p>
      <w:pPr>
        <w:spacing w:after="120"/>
      </w:pPr>
      <w:r>
        <w:t>In the 1990s, ERP software was coded by hand line-by-line.</w:t>
        <w:br/>
        <w:t>In the 2010s, low-code platforms tried visual drag-and-drop.</w:t>
        <w:br/>
        <w:t>In 2026, Frappe ECC introduces Autonomous Enterprise Engineering.</w:t>
        <w:br/>
        <w:br/>
        <w:t>Frappe ECC is built, tested, and live today. Visit the GitHub repository to experience the revolution:</w:t>
        <w:br/>
        <w:t>https://github.com/srikrishnaprofessional-gif/Frappe-ECC</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Frappe ECC Product Pitch  |  Confidential Commercial Presentation  |  2026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EXECUTIVE PITCH DECK  |  FRAPPE ECC — AUTONOMOUS AI ENGINEERING TEAM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80808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