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left w:val="none"/>
          <w:bottom w:val="none"/>
          <w:right w:val="none"/>
          <w:insideH w:val="none"/>
          <w:insideV w:val="none"/>
        </w:tblBorders>
      </w:tblPr>
      <w:tblGrid>
        <w:gridCol w:w="10440"/>
      </w:tblGrid>
      <w:tr>
        <w:tc>
          <w:tcPr>
            <w:tcW w:type="dxa" w:w="10440"/>
            <w:shd w:fill="FF3B30" w:val="clear"/>
            <w:tcMar>
              <w:top w:type="dxa" w:w="220"/>
              <w:left w:type="dxa" w:w="260"/>
              <w:bottom w:type="dxa" w:w="220"/>
              <w:right w:type="dxa" w:w="260"/>
            </w:tcMar>
          </w:tcPr>
          <w:p>
            <w:pPr>
              <w:spacing w:after="20"/>
            </w:pPr>
            <w:r>
              <w:rPr>
                <w:rFonts w:ascii="Calibri" w:cs="Calibri" w:eastAsia="Calibri" w:hAnsi="Calibri"/>
                <w:b/>
                <w:bCs/>
                <w:i w:val="false"/>
                <w:iCs w:val="false"/>
                <w:caps w:val="false"/>
                <w:color w:val="FFFFFF"/>
                <w:sz w:val="52"/>
                <w:szCs w:val="52"/>
              </w:rPr>
              <w:t xml:space="preserve">spinr</w:t>
            </w:r>
            <w:r>
              <w:rPr>
                <w:rFonts w:ascii="Calibri" w:cs="Calibri" w:eastAsia="Calibri" w:hAnsi="Calibri"/>
                <w:b/>
                <w:bCs/>
                <w:i w:val="false"/>
                <w:iCs w:val="false"/>
                <w:caps w:val="false"/>
                <w:color w:val="FFD700"/>
                <w:sz w:val="52"/>
                <w:szCs w:val="52"/>
              </w:rPr>
              <w:t xml:space="preserve">.</w:t>
            </w:r>
          </w:p>
          <w:p>
            <w:r>
              <w:rPr>
                <w:rFonts w:ascii="Calibri" w:cs="Calibri" w:eastAsia="Calibri" w:hAnsi="Calibri"/>
                <w:b/>
                <w:bCs/>
                <w:i w:val="false"/>
                <w:iCs w:val="false"/>
                <w:caps/>
                <w:color w:val="FFFFFF"/>
                <w:spacing w:val="6"/>
                <w:sz w:val="15"/>
                <w:szCs w:val="15"/>
              </w:rPr>
              <w:t xml:space="preserve">SASKATCHEWAN-FIRST RIDESHARE  ·  0% DRIVER COMMISSION</w:t>
            </w:r>
          </w:p>
        </w:tc>
      </w:tr>
    </w:tbl>
    <w:p>
      <w:pPr>
        <w:spacing w:after="200" w:before="0"/>
      </w:pPr>
      <w:r>
        <w:rPr>
          <w:rFonts w:ascii="Calibri" w:cs="Calibri" w:eastAsia="Calibri" w:hAnsi="Calibri"/>
          <w:b w:val="false"/>
          <w:bCs w:val="false"/>
          <w:i w:val="false"/>
          <w:iCs w:val="false"/>
          <w:caps w:val="false"/>
          <w:color w:val="1A1A1A"/>
          <w:sz w:val="20"/>
          <w:szCs w:val="20"/>
        </w:rPr>
        <w:t xml:space="preserve"/>
      </w:r>
    </w:p>
    <w:p>
      <w:pPr>
        <w:spacing w:after="60"/>
      </w:pPr>
      <w:r>
        <w:rPr>
          <w:rFonts w:ascii="Calibri" w:cs="Calibri" w:eastAsia="Calibri" w:hAnsi="Calibri"/>
          <w:b/>
          <w:bCs/>
          <w:i w:val="false"/>
          <w:iCs w:val="false"/>
          <w:caps w:val="false"/>
          <w:color w:val="1A1A1A"/>
          <w:sz w:val="44"/>
          <w:szCs w:val="44"/>
        </w:rPr>
        <w:t xml:space="preserve">Production Readiness</w:t>
      </w:r>
    </w:p>
    <w:p>
      <w:pPr>
        <w:spacing w:after="40"/>
      </w:pPr>
      <w:r>
        <w:rPr>
          <w:rFonts w:ascii="Calibri" w:cs="Calibri" w:eastAsia="Calibri" w:hAnsi="Calibri"/>
          <w:b/>
          <w:bCs/>
          <w:i w:val="false"/>
          <w:iCs w:val="false"/>
          <w:caps w:val="false"/>
          <w:color w:val="FF3B30"/>
          <w:sz w:val="44"/>
          <w:szCs w:val="44"/>
        </w:rPr>
        <w:t xml:space="preserve">&amp; Launch Gate Checklist</w:t>
      </w:r>
    </w:p>
    <w:p>
      <w:pPr>
        <w:spacing w:after="200" w:before="0"/>
      </w:pPr>
      <w:r>
        <w:rPr>
          <w:rFonts w:ascii="Calibri" w:cs="Calibri" w:eastAsia="Calibri" w:hAnsi="Calibri"/>
          <w:b w:val="false"/>
          <w:bCs w:val="false"/>
          <w:i/>
          <w:iCs/>
          <w:caps w:val="false"/>
          <w:color w:val="666666"/>
          <w:sz w:val="22"/>
          <w:szCs w:val="22"/>
        </w:rPr>
        <w:t xml:space="preserve">A go / no-go framework for taking Spinr to production</w:t>
      </w:r>
    </w:p>
    <w:p>
      <w:pPr>
        <w:pBdr>
          <w:top w:val="single" w:color="FFD700" w:sz="12" w:space="6"/>
        </w:pBdr>
        <w:spacing w:after="120" w:before="60"/>
      </w:pPr>
      <w:r>
        <w:rPr>
          <w:rFonts w:ascii="Calibri" w:cs="Calibri" w:eastAsia="Calibri" w:hAnsi="Calibri"/>
          <w:b w:val="false"/>
          <w:bCs w:val="false"/>
          <w:i w:val="false"/>
          <w:iCs w:val="false"/>
          <w:caps w:val="false"/>
          <w:color w:val="1A1A1A"/>
          <w:sz w:val="20"/>
          <w:szCs w:val="20"/>
        </w:rPr>
        <w:t xml:space="preserve"/>
      </w:r>
    </w:p>
    <w:p>
      <w:pPr>
        <w:spacing w:after="60" w:before="0"/>
      </w:pPr>
      <w:r>
        <w:rPr>
          <w:rFonts w:ascii="Calibri" w:cs="Calibri" w:eastAsia="Calibri" w:hAnsi="Calibri"/>
          <w:b/>
          <w:bCs/>
          <w:i w:val="false"/>
          <w:iCs w:val="false"/>
          <w:caps w:val="false"/>
          <w:color w:val="666666"/>
          <w:sz w:val="18"/>
          <w:szCs w:val="18"/>
        </w:rPr>
        <w:t xml:space="preserve">Document owner: </w:t>
      </w:r>
      <w:r>
        <w:rPr>
          <w:rFonts w:ascii="Calibri" w:cs="Calibri" w:eastAsia="Calibri" w:hAnsi="Calibri"/>
          <w:b w:val="false"/>
          <w:bCs w:val="false"/>
          <w:i w:val="false"/>
          <w:iCs w:val="false"/>
          <w:caps w:val="false"/>
          <w:color w:val="666666"/>
          <w:sz w:val="18"/>
          <w:szCs w:val="18"/>
        </w:rPr>
        <w:t xml:space="preserve">_________________________     </w:t>
      </w:r>
      <w:r>
        <w:rPr>
          <w:rFonts w:ascii="Calibri" w:cs="Calibri" w:eastAsia="Calibri" w:hAnsi="Calibri"/>
          <w:b/>
          <w:bCs/>
          <w:i w:val="false"/>
          <w:iCs w:val="false"/>
          <w:caps w:val="false"/>
          <w:color w:val="666666"/>
          <w:sz w:val="18"/>
          <w:szCs w:val="18"/>
        </w:rPr>
        <w:t xml:space="preserve">Target launch date: </w:t>
      </w:r>
      <w:r>
        <w:rPr>
          <w:rFonts w:ascii="Calibri" w:cs="Calibri" w:eastAsia="Calibri" w:hAnsi="Calibri"/>
          <w:b w:val="false"/>
          <w:bCs w:val="false"/>
          <w:i w:val="false"/>
          <w:iCs w:val="false"/>
          <w:caps w:val="false"/>
          <w:color w:val="666666"/>
          <w:sz w:val="18"/>
          <w:szCs w:val="18"/>
        </w:rPr>
        <w:t xml:space="preserve">_________________________</w:t>
      </w:r>
    </w:p>
    <w:p>
      <w:pPr>
        <w:spacing w:after="200" w:before="0"/>
      </w:pPr>
      <w:r>
        <w:rPr>
          <w:rFonts w:ascii="Calibri" w:cs="Calibri" w:eastAsia="Calibri" w:hAnsi="Calibri"/>
          <w:b/>
          <w:bCs/>
          <w:i w:val="false"/>
          <w:iCs w:val="false"/>
          <w:caps w:val="false"/>
          <w:color w:val="666666"/>
          <w:sz w:val="18"/>
          <w:szCs w:val="18"/>
        </w:rPr>
        <w:t xml:space="preserve">Version: </w:t>
      </w:r>
      <w:r>
        <w:rPr>
          <w:rFonts w:ascii="Calibri" w:cs="Calibri" w:eastAsia="Calibri" w:hAnsi="Calibri"/>
          <w:b w:val="false"/>
          <w:bCs w:val="false"/>
          <w:i w:val="false"/>
          <w:iCs w:val="false"/>
          <w:caps w:val="false"/>
          <w:color w:val="666666"/>
          <w:sz w:val="18"/>
          <w:szCs w:val="18"/>
        </w:rPr>
        <w:t xml:space="preserve">1.0 (draft)     </w:t>
      </w:r>
      <w:r>
        <w:rPr>
          <w:rFonts w:ascii="Calibri" w:cs="Calibri" w:eastAsia="Calibri" w:hAnsi="Calibri"/>
          <w:b/>
          <w:bCs/>
          <w:i w:val="false"/>
          <w:iCs w:val="false"/>
          <w:caps w:val="false"/>
          <w:color w:val="666666"/>
          <w:sz w:val="18"/>
          <w:szCs w:val="18"/>
        </w:rPr>
        <w:t xml:space="preserve">Classification: </w:t>
      </w:r>
      <w:r>
        <w:rPr>
          <w:rFonts w:ascii="Calibri" w:cs="Calibri" w:eastAsia="Calibri" w:hAnsi="Calibri"/>
          <w:b w:val="false"/>
          <w:bCs w:val="false"/>
          <w:i w:val="false"/>
          <w:iCs w:val="false"/>
          <w:caps w:val="false"/>
          <w:color w:val="666666"/>
          <w:sz w:val="18"/>
          <w:szCs w:val="18"/>
        </w:rPr>
        <w:t xml:space="preserve">Confidential — Internal</w:t>
      </w:r>
    </w:p>
    <w:p>
      <w:pPr>
        <w:pStyle w:val="Heading2"/>
        <w:spacing w:after="80" w:before="0"/>
      </w:pPr>
      <w:r>
        <w:rPr>
          <w:rFonts w:ascii="Calibri" w:cs="Calibri" w:eastAsia="Calibri" w:hAnsi="Calibri"/>
          <w:b w:val="false"/>
          <w:bCs w:val="false"/>
          <w:i w:val="false"/>
          <w:iCs w:val="false"/>
          <w:caps w:val="false"/>
          <w:color w:val="D32F2F"/>
          <w:sz w:val="20"/>
          <w:szCs w:val="20"/>
        </w:rPr>
        <w:t xml:space="preserve">How this document works</w:t>
      </w:r>
    </w:p>
    <w:p>
      <w:pPr>
        <w:spacing w:after="120" w:before="0"/>
      </w:pPr>
      <w:r>
        <w:rPr>
          <w:rFonts w:ascii="Calibri" w:cs="Calibri" w:eastAsia="Calibri" w:hAnsi="Calibri"/>
          <w:b w:val="false"/>
          <w:bCs w:val="false"/>
          <w:i w:val="false"/>
          <w:iCs w:val="false"/>
          <w:caps w:val="false"/>
          <w:color w:val="1A1A1A"/>
          <w:sz w:val="20"/>
          <w:szCs w:val="20"/>
        </w:rPr>
        <w:t xml:space="preserve">This is a launch gate: a structured set of checks that must pass before Spinr goes live. It exists so "are we ready?" becomes a decision you can point to, not a feeling. Work is grouped into eleven gates. Each gate has a plain-language explanation, concrete checklist items, an owner, and a status. A gate is GREEN only when every P0 item in it is Done or formally Waived with a written reason. Spinr launches only when every P0 gate is GREEN and the accountable owners sign the final page.</w:t>
      </w:r>
    </w:p>
    <w:p>
      <w:pPr>
        <w:spacing w:after="120" w:before="0"/>
      </w:pPr>
      <w:r>
        <w:rPr>
          <w:rFonts w:ascii="Calibri" w:cs="Calibri" w:eastAsia="Calibri" w:hAnsi="Calibri"/>
          <w:b/>
          <w:bCs/>
          <w:i w:val="false"/>
          <w:iCs w:val="false"/>
          <w:caps w:val="false"/>
          <w:color w:val="1A1A1A"/>
          <w:sz w:val="20"/>
          <w:szCs w:val="20"/>
        </w:rPr>
        <w:t xml:space="preserve">Important context: </w:t>
      </w:r>
      <w:r>
        <w:rPr>
          <w:rFonts w:ascii="Calibri" w:cs="Calibri" w:eastAsia="Calibri" w:hAnsi="Calibri"/>
          <w:b w:val="false"/>
          <w:bCs w:val="false"/>
          <w:i/>
          <w:iCs/>
          <w:caps w:val="false"/>
          <w:color w:val="1A1A1A"/>
          <w:sz w:val="20"/>
          <w:szCs w:val="20"/>
        </w:rPr>
        <w:t xml:space="preserve">the 301-finding code review is one input to this checklist (Gate A), not the whole thing. Fixing all the findings is necessary but not sufficient — a real launch also needs a working test pipeline, data remediation, dependency patching, load testing, and human regulatory/ops sign-offs, which the other gates cover.</w:t>
      </w:r>
    </w:p>
    <w:p>
      <w:pPr>
        <w:pStyle w:val="Heading3"/>
        <w:spacing w:after="80" w:before="80"/>
      </w:pPr>
      <w:r>
        <w:rPr>
          <w:rFonts w:ascii="Calibri" w:cs="Calibri" w:eastAsia="Calibri" w:hAnsi="Calibri"/>
          <w:b w:val="false"/>
          <w:bCs w:val="false"/>
          <w:i w:val="false"/>
          <w:iCs w:val="false"/>
          <w:caps w:val="false"/>
          <w:color w:val="D32F2F"/>
          <w:sz w:val="20"/>
          <w:szCs w:val="20"/>
        </w:rPr>
        <w:t xml:space="preserve">Status legend</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1700"/>
        <w:gridCol w:w="8740"/>
      </w:tblGrid>
      <w:tr>
        <w:trPr>
          <w:tblHeader/>
        </w:trPr>
        <w:tc>
          <w:tcPr>
            <w:tcW w:type="dxa" w:w="17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c>
          <w:tcPr>
            <w:tcW w:type="dxa" w:w="874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Meaning</w:t>
            </w:r>
          </w:p>
        </w:tc>
      </w:tr>
      <w:tr>
        <w:tc>
          <w:tcPr>
            <w:tcW w:type="dxa" w:w="170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666666"/>
                <w:sz w:val="20"/>
                <w:szCs w:val="20"/>
              </w:rPr>
              <w:t xml:space="preserve">Not started</w:t>
            </w:r>
          </w:p>
        </w:tc>
        <w:tc>
          <w:tcPr>
            <w:tcW w:type="dxa" w:w="874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No work begun on this item.</w:t>
            </w:r>
          </w:p>
        </w:tc>
      </w:tr>
      <w:tr>
        <w:tc>
          <w:tcPr>
            <w:tcW w:type="dxa" w:w="170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D97706"/>
                <w:sz w:val="20"/>
                <w:szCs w:val="20"/>
              </w:rPr>
              <w:t xml:space="preserve">In progress</w:t>
            </w:r>
          </w:p>
        </w:tc>
        <w:tc>
          <w:tcPr>
            <w:tcW w:type="dxa" w:w="874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Actively being worked; evidence pending.</w:t>
            </w:r>
          </w:p>
        </w:tc>
      </w:tr>
      <w:tr>
        <w:tc>
          <w:tcPr>
            <w:tcW w:type="dxa" w:w="170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34C759"/>
                <w:sz w:val="20"/>
                <w:szCs w:val="20"/>
              </w:rPr>
              <w:t xml:space="preserve">Done</w:t>
            </w:r>
          </w:p>
        </w:tc>
        <w:tc>
          <w:tcPr>
            <w:tcW w:type="dxa" w:w="874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Completed and evidenced (link a PR, test run, report, or sign-off).</w:t>
            </w:r>
          </w:p>
        </w:tc>
      </w:tr>
      <w:tr>
        <w:tc>
          <w:tcPr>
            <w:tcW w:type="dxa" w:w="170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666666"/>
                <w:sz w:val="20"/>
                <w:szCs w:val="20"/>
              </w:rPr>
              <w:t xml:space="preserve">Waived</w:t>
            </w:r>
          </w:p>
        </w:tc>
        <w:tc>
          <w:tcPr>
            <w:tcW w:type="dxa" w:w="874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Consciously accepted as a risk for launch — requires a named approver and written justification.</w:t>
            </w:r>
          </w:p>
        </w:tc>
      </w:tr>
    </w:tbl>
    <w:p>
      <w:pPr>
        <w:spacing w:after="40" w:before="8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val="false"/>
          <w:bCs w:val="false"/>
          <w:i w:val="false"/>
          <w:iCs w:val="false"/>
          <w:caps w:val="false"/>
          <w:color w:val="1A1A1A"/>
          <w:sz w:val="20"/>
          <w:szCs w:val="20"/>
        </w:rPr>
        <w:t xml:space="preserve">P0 items block launch. P1 items should be done but a documented waiver is acceptable. Each gate notes its priority.</w:t>
      </w:r>
    </w:p>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Gate summary — the eleven gates</w:t>
      </w:r>
    </w:p>
    <w:p>
      <w:pPr>
        <w:spacing w:after="100" w:before="0"/>
      </w:pPr>
      <w:r>
        <w:rPr>
          <w:rFonts w:ascii="Calibri" w:cs="Calibri" w:eastAsia="Calibri" w:hAnsi="Calibri"/>
          <w:b w:val="false"/>
          <w:bCs w:val="false"/>
          <w:i w:val="false"/>
          <w:iCs w:val="false"/>
          <w:caps w:val="false"/>
          <w:color w:val="1A1A1A"/>
          <w:sz w:val="20"/>
          <w:szCs w:val="20"/>
        </w:rPr>
        <w:t xml:space="preserve">Fill the Owner and RAG (Red / Amber / Green) columns as the program progresses. Launch requires every P0 gate at GREEN.</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620"/>
        <w:gridCol w:w="3900"/>
        <w:gridCol w:w="1150"/>
        <w:gridCol w:w="2050"/>
        <w:gridCol w:w="720"/>
        <w:gridCol w:w="2000"/>
      </w:tblGrid>
      <w:tr>
        <w:trPr>
          <w:tblHeader/>
        </w:trPr>
        <w:tc>
          <w:tcPr>
            <w:tcW w:type="dxa" w:w="62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t>
            </w:r>
          </w:p>
        </w:tc>
        <w:tc>
          <w:tcPr>
            <w:tcW w:type="dxa" w:w="39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Gate</w:t>
            </w:r>
          </w:p>
        </w:tc>
        <w:tc>
          <w:tcPr>
            <w:tcW w:type="dxa" w:w="11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Priority</w:t>
            </w:r>
          </w:p>
        </w:tc>
        <w:tc>
          <w:tcPr>
            <w:tcW w:type="dxa" w:w="2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Suggested owner</w:t>
            </w:r>
          </w:p>
        </w:tc>
        <w:tc>
          <w:tcPr>
            <w:tcW w:type="dxa" w:w="72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RAG</w:t>
            </w:r>
          </w:p>
        </w:tc>
        <w:tc>
          <w:tcPr>
            <w:tcW w:type="dxa" w:w="20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Notes</w:t>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Code-review remediation (301 findings)</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Eng leads</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w:t>
            </w:r>
          </w:p>
        </w:tc>
        <w:tc>
          <w:tcPr>
            <w:tcW w:type="dxa" w:w="3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Test pipeline &amp; automated quality</w:t>
            </w:r>
          </w:p>
        </w:tc>
        <w:tc>
          <w:tcPr>
            <w:tcW w:type="dxa" w:w="11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QA / Platform</w:t>
            </w:r>
          </w:p>
        </w:tc>
        <w:tc>
          <w:tcPr>
            <w:tcW w:type="dxa" w:w="7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Data integrity &amp; remediation</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Backend / Data</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w:t>
            </w:r>
          </w:p>
        </w:tc>
        <w:tc>
          <w:tcPr>
            <w:tcW w:type="dxa" w:w="3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Security &amp; privacy</w:t>
            </w:r>
          </w:p>
        </w:tc>
        <w:tc>
          <w:tcPr>
            <w:tcW w:type="dxa" w:w="11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Security</w:t>
            </w:r>
          </w:p>
        </w:tc>
        <w:tc>
          <w:tcPr>
            <w:tcW w:type="dxa" w:w="7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E</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Payments &amp; financial correctness</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Payments</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F</w:t>
            </w:r>
          </w:p>
        </w:tc>
        <w:tc>
          <w:tcPr>
            <w:tcW w:type="dxa" w:w="3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Regulatory &amp; legal (SK / PIPEDA / SGI)</w:t>
            </w:r>
          </w:p>
        </w:tc>
        <w:tc>
          <w:tcPr>
            <w:tcW w:type="dxa" w:w="11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Legal / Compliance</w:t>
            </w:r>
          </w:p>
        </w:tc>
        <w:tc>
          <w:tcPr>
            <w:tcW w:type="dxa" w:w="7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G</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Reliability, performance &amp; SLA</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Platform / SRE</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H</w:t>
            </w:r>
          </w:p>
        </w:tc>
        <w:tc>
          <w:tcPr>
            <w:tcW w:type="dxa" w:w="3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Observability &amp; incident readiness</w:t>
            </w:r>
          </w:p>
        </w:tc>
        <w:tc>
          <w:tcPr>
            <w:tcW w:type="dxa" w:w="11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SRE / Ops</w:t>
            </w:r>
          </w:p>
        </w:tc>
        <w:tc>
          <w:tcPr>
            <w:tcW w:type="dxa" w:w="7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Mobile release readiness</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P1</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Mobile</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J</w:t>
            </w:r>
          </w:p>
        </w:tc>
        <w:tc>
          <w:tcPr>
            <w:tcW w:type="dxa" w:w="39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Infrastructure, ops &amp; disaster recovery</w:t>
            </w:r>
          </w:p>
        </w:tc>
        <w:tc>
          <w:tcPr>
            <w:tcW w:type="dxa" w:w="11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DevOps</w:t>
            </w:r>
          </w:p>
        </w:tc>
        <w:tc>
          <w:tcPr>
            <w:tcW w:type="dxa" w:w="7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K</w:t>
            </w:r>
          </w:p>
        </w:tc>
        <w:tc>
          <w:tcPr>
            <w:tcW w:type="dxa" w:w="39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Launch governance &amp; sign-off</w:t>
            </w:r>
          </w:p>
        </w:tc>
        <w:tc>
          <w:tcPr>
            <w:tcW w:type="dxa" w:w="11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P0</w:t>
            </w:r>
          </w:p>
        </w:tc>
        <w:tc>
          <w:tcPr>
            <w:tcW w:type="dxa" w:w="20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Product / Eng Dir</w:t>
            </w:r>
          </w:p>
        </w:tc>
        <w:tc>
          <w:tcPr>
            <w:tcW w:type="dxa" w:w="7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A — Code-Review Remediation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 (Critical items) / P1 (rest)</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The 301 findings from the full repository review. The 16 Criticals are release-blockers; the systemic patterns should be fixed once, centrally. This gate is green when all Criticals are fixed-and-tested and the Majors are scheduled with the highest-risk ones done.</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All 16 Critical findings fixed, tested, and verified in production behaviour</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The urgent money/security/safety bugs (corporate-billing sign error, driver-cancel IDOR, rider PII leak, payout race, dead safety alert) are closed with a regression test each.</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10 systemic patterns each fixed centrally</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One wallet-locking function, one ownership helper, one PII scrubber, etc. — so the pattern cannot recur and dozens of findings clear at once.</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103 Major findings triaged; highest-risk done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Each Major confirmed against source, assigned, and scheduled; the money/legal ones done before launch.</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182 Minor findings logged in the tracker</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Captured with owners so nothing is silently dropped; folded into normal sprints.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 regression test exists for every fixed money / auth / safety / insurance-period path</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No fix ships without a test that proves the bug is gone and guards against its return.</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B — Test Pipeline &amp; Automated Quality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Automated tests must actually run and pass. Today the backend test job cannot even start (the CI test database role is not provisioned), which means nothing is currently validating backend changes — this must be fixed first.</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CI test database provisioned so backend-test actually runs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Fix the "role spinr_test does not exist" failure so the automated backend suite executes on every PR.</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All unit + integration suites green on main</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Backend (pytest), rider/driver (Jest), admin (Vitest) pass.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Ride-lifecycle E2E passes (searching → completed) with mock payments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The core money-making flow is proven end to end.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Coverage floors met</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payments / fare / crypto ≥ 90%, rides / dispatch ≥ 80%, admin / utils ≥ 70%.</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App test coverage-upload no longer red on non-app PRs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Fix the CI so a docs/backend-only change does not fail the mobile coverage gate on an empty upload.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Every Stripe webhook type has a test before it hits production</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Per the payments convention — no untested webhook path.</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C — Data Integrity &amp; Remediation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Some bugs have already written bad data. Fixing the code forward does not repair existing records — those need a one-time audit and backfill before launch, or the corruption ships with you.</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Corporate wallet balances audited and corrected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The allowance-billing sign error credited companies instead of charging them; reconcile and backfill affected balances.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Insurance-period ledger reconciled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Close any Period 2/3 rows left open by the wrong-driver cancel bug; verify every open ride maps to a valid period.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financial_events ledger de-duplicated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Ensure no double-written charge rows before they feed 7-year tax records.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All pending migrations apply cleanly within the prod deploy window</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&lt; 30s apply target; long updates batched; rollback plan documented.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RLS present on every user-data table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Two tables still carry the retired FOR ALL policy pattern — fix before launch.</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D — Security &amp; Privacy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Independent security posture must be established beyond the code review — real dependency vulnerabilities patched, secrets managed, PII kept out of logs, and an external check performed.</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Dependency vulnerabilities triaged to zero unresolved HIGH/Critical (or accepted)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The yarn / npm / python audit and Trivy findings are real security debt; patch or formally accept each.</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Penetration test performed and criticals remediated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An external or dedicated internal pen test against the pre-prod environment.</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PII never in logs, Sentry, or analytics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Verify the scrubber covers request bodies, stack locals, breadcrumbs; no raw GPS / phone / email / name.</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Secrets managed outside the repo and rotated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app_settings + env secrets stored securely; rotation procedure exists; no secret in git history (full-history scan).</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JWT trust model verified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Admin claims trusted; rider/driver role always re-read from DB; token lifetimes correct.</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Webhook signatures verified and fail closed in production</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Stripe / Twilio / SNS signature checks cannot be bypassed on a blank key.</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E — Payments &amp; Financial Correctness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Money must be exactly right and idempotent. This gate proves charges, refunds, payouts, and taxes are correct and that duplicate events cannot double-charge or double-pay.</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Stripe idempotency enforced on every charge/webhook</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claim_stripe_event before processing; idempotency keys include the amount.</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Reconciliation clean for N consecutive days pre-launch</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Daily Stripe-vs-ledger reconciliation with no unexplained discrepancy.</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Refund, dispute, and cancellation-fee flows correct</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Partial refunds handled; no silent zero-dollar approvals; fees charged before driver is paid.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Receipts reconcile to the cent; GST 5% / PST as separate line items</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Discount/promo lines present; tax recomputed at settlement.</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Driver payouts correct and race-free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100%-of-fare payout; no double-withdraw; Stripe transfer compensated on DB failure.</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T4A generation correct at the threshold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Year bucketed by completion date; all platform-paid amounts included.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PCI posture confirmed (Stripe-hosted; no PAN in logs)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Card data never touches Spinr servers or logs.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F — Regulatory &amp; Legal (Saskatchewan / PIPEDA / SGI)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Spinr operates under Canadian and Saskatchewan rules. These items need qualified human sign-off — code alone cannot certify them.</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SGI insurance-period mapping verified end to end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Periods 0–3 derived correctly from ride state; every transition logged append-only.</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Trip-log retention implemented and signed off</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7-yr trip/insurance, 3-yr GPS trace, 30-day PII scrub — matching the privacy policy and in-app copy.</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Driver eligibility enforced at onboarding and every go-online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Class 5 licence, 3-yr experience, clean abstract, WAV/CRC checks, document expiry.</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Tax line items correct on rider receipts</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GST/PST as required; municipal fare floor respected; surge cap 2.5×.</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Consent version stored on signup; re-consent on material change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Provable consent record for PIPEDA.</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Driver-classification language reviewed by legal</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Contractor, not employee — no control-of-work copy.</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Accessibility: WAV + service-animal support; WCAG 2.1 AA for customer surfaces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Mandatory accommodations available and enforced.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Data residency confirmed (Canadian region) with legal sign-off</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Supabase / Stripe / Firebase region-matched or exception justified.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G — Reliability, Performance &amp; SLA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The system must meet its latency targets under real load and survive failure. Prove it with a load test, not an assumption.</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Load test at expected peak passes the SLA table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P95 dispatch &lt; 2s, fare estimate &lt; 300ms, settlement &lt; 1s, WS fan-out &lt; 100ms, location write &lt; 150ms.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Background loops proven replay-safe</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Every loop runs on every replica; atomic claim / idempotency / claim flag verified; no duplicate charges or notifications.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Fly.io ↔ Railway failover tested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The DNS-based failover and Redis re-point actually work under a drill.</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Redis-down behaviour is safe</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Leader locks fail closed, not open; rate-limit / OTP degradation understood and acceptable.</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Dispatch match rate and cancellation KPIs within target under load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Match ≥ 85%, rider cancel ≤ 8%, driver cancel ≤ 3%.</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H — Observability &amp; Incident Readiness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When something breaks in production, you must see it and have a plan. This gate ensures monitoring, alerting, and runbooks exist before, not after, launch.</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Metrics emit the documented names/labels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spinr_&lt;domain&gt;_&lt;metric&gt;_&lt;unit&gt;; dashboards/alerts match the code, not the legacy dotted names.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Dashboards and alerts wired for the KPI + SLA set</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Dispatch latency, payment success, safety incidents, loop health.</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Sentry configured with domain/surface tags and PII scrubbing</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Actionable errors reach the team without leaking PII.</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On-call rotation and escalation defined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P1 response &lt; 2h; someone owns the pager.</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Runbooks exist: data breach, Fly/Railway failover, payment backlog, stuck rides</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Written procedures, not tribal knowledge.</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Audit logging on all admin actions and auth failures</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Security-relevant events are recorded.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Background-loop watchdog covers every loop</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No payment/safety loop can die silently.</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I — Mobile Release Readiness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D97706"/>
          <w:sz w:val="20"/>
          <w:szCs w:val="20"/>
        </w:rPr>
        <w:t xml:space="preserve">P1</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The apps must pass store review and work across real devices — including the map and ride-progress rendering through every insurance period, and on small and large screens.</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App Store and Play Store review passed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Builds submitted via EAS and approved.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Accessibility audit (WCAG 2.1 AA) on customer surfaces</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Font scaling honoured on fare/price text; screen-reader labels on booking controls.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Map &amp; ride-progress verified across device sizes and periods 0–3</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Live route, breadcrumb trail, and markers render correctly on small/large screens through the whole trip.</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Push notifications work (incl. Android 13+ runtime permission)</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Ride, safety, and payment notifications deliver on both platforms.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Crash-free session rate baseline established and acceptable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Crashlytics baseline before wide rollout.</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Offline / poor-network states handled gracefully</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No blank or stuck screens on a dropped connection.</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J — Infrastructure, Ops &amp; Disaster Recovery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The platform under the apps must be recoverable and operable — backups that actually restore, secrets that rotate, and a deploy you can roll back.</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Backups configured and a restore actually tested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 real restore drill, not just a backup schedule.</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Disaster-recovery plan documented with RTO/RPO</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How long to recover and how much data loss is tolerable.</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Deploy rollback tested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A bad deploy can be reverted quickly and safely.</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Secrets rotation procedure exists and is tested</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Rotating a key does not break outstanding sessions or unsubscribe links.</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Scaling headroom validated for launch traffic</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Horizontal scaling proven; DB connection limits understood.</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Third-party quotas/budgets set (Google Maps, Twilio, FCM)</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Cost controls and budget alarms in place so a spike does not surprise you.</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shd w:fill="FF3B30" w:val="clear"/>
        <w:spacing w:after="40"/>
      </w:pPr>
      <w:r>
        <w:rPr>
          <w:rFonts w:ascii="Calibri" w:cs="Calibri" w:eastAsia="Calibri" w:hAnsi="Calibri"/>
          <w:b/>
          <w:bCs/>
          <w:i w:val="false"/>
          <w:iCs w:val="false"/>
          <w:caps w:val="false"/>
          <w:color w:val="FFFFFF"/>
          <w:sz w:val="26"/>
          <w:szCs w:val="26"/>
        </w:rPr>
        <w:t xml:space="preserve">  GATE K — Launch Governance &amp; Sign-off  </w:t>
      </w:r>
    </w:p>
    <w:p>
      <w:pPr>
        <w:spacing w:after="80" w:before="0"/>
      </w:pPr>
      <w:r>
        <w:rPr>
          <w:rFonts w:ascii="Calibri" w:cs="Calibri" w:eastAsia="Calibri" w:hAnsi="Calibri"/>
          <w:b/>
          <w:bCs/>
          <w:i w:val="false"/>
          <w:iCs w:val="false"/>
          <w:caps w:val="false"/>
          <w:color w:val="1A1A1A"/>
          <w:sz w:val="20"/>
          <w:szCs w:val="20"/>
        </w:rPr>
        <w:t xml:space="preserve">Priority: </w:t>
      </w:r>
      <w:r>
        <w:rPr>
          <w:rFonts w:ascii="Calibri" w:cs="Calibri" w:eastAsia="Calibri" w:hAnsi="Calibri"/>
          <w:b/>
          <w:bCs/>
          <w:i w:val="false"/>
          <w:iCs w:val="false"/>
          <w:caps w:val="false"/>
          <w:color w:val="FF3B30"/>
          <w:sz w:val="20"/>
          <w:szCs w:val="20"/>
        </w:rPr>
        <w:t xml:space="preserve">P0</w:t>
      </w:r>
      <w:r>
        <w:rPr>
          <w:rFonts w:ascii="Calibri" w:cs="Calibri" w:eastAsia="Calibri" w:hAnsi="Calibri"/>
          <w:b w:val="false"/>
          <w:bCs w:val="false"/>
          <w:i w:val="false"/>
          <w:iCs w:val="false"/>
          <w:caps w:val="false"/>
          <w:color w:val="666666"/>
          <w:sz w:val="20"/>
          <w:szCs w:val="20"/>
        </w:rPr>
        <w:t xml:space="preserve">     Owner: ______________________     Gate RAG: __________</w:t>
      </w:r>
    </w:p>
    <w:p>
      <w:pPr>
        <w:spacing w:after="100" w:before="0"/>
      </w:pPr>
      <w:r>
        <w:rPr>
          <w:rFonts w:ascii="Calibri" w:cs="Calibri" w:eastAsia="Calibri" w:hAnsi="Calibri"/>
          <w:b w:val="false"/>
          <w:bCs w:val="false"/>
          <w:i w:val="false"/>
          <w:iCs w:val="false"/>
          <w:caps w:val="false"/>
          <w:color w:val="1A1A1A"/>
          <w:sz w:val="20"/>
          <w:szCs w:val="20"/>
        </w:rPr>
        <w:t xml:space="preserve">A launch is a decision with named owners. This gate makes the go/no-go explicit, plans a safe rollout, and prepares support for day one.</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3050"/>
        <w:gridCol w:w="4650"/>
        <w:gridCol w:w="1550"/>
        <w:gridCol w:w="1190"/>
      </w:tblGrid>
      <w:tr>
        <w:trPr>
          <w:tblHeader/>
        </w:trPr>
        <w:tc>
          <w:tcPr>
            <w:tcW w:type="dxa" w:w="30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Checklist item</w:t>
            </w:r>
          </w:p>
        </w:tc>
        <w:tc>
          <w:tcPr>
            <w:tcW w:type="dxa" w:w="46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What it means (plain language)</w:t>
            </w:r>
          </w:p>
        </w:tc>
        <w:tc>
          <w:tcPr>
            <w:tcW w:type="dxa" w:w="155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Evidence / link</w:t>
            </w:r>
          </w:p>
        </w:tc>
        <w:tc>
          <w:tcPr>
            <w:tcW w:type="dxa" w:w="119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Status</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Go/No-Go owner named for each gate</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Every gate has an accountable person who signs.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Staged rollout / canary plan</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Launch to a limited cohort or area first; expansion criteria defined.</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Rollback / kill-switch plan for launch</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How to pull back if something goes wrong post-launch.</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Support playbooks and staffing for launch window</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P1 support &lt; 2h; agents briefed; FAQs ready.</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FFFF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Post-launch hypercare period defined</w:t>
            </w:r>
          </w:p>
        </w:tc>
        <w:tc>
          <w:tcPr>
            <w:tcW w:type="dxa" w:w="46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Heightened monitoring and on-call for the first days.</w:t>
            </w:r>
          </w:p>
        </w:tc>
        <w:tc>
          <w:tcPr>
            <w:tcW w:type="dxa" w:w="155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r>
        <w:tc>
          <w:tcPr>
            <w:tcW w:type="dxa" w:w="3050"/>
            <w:shd w:fill="F5F5F5"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1A1A1A"/>
                <w:sz w:val="15"/>
                <w:szCs w:val="15"/>
              </w:rPr>
              <w:t xml:space="preserve">Communications plan (internal + external) ready</w:t>
            </w:r>
          </w:p>
        </w:tc>
        <w:tc>
          <w:tcPr>
            <w:tcW w:type="dxa" w:w="46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5"/>
                <w:szCs w:val="15"/>
              </w:rPr>
              <w:t xml:space="preserve">Drivers, riders, and the team know what is happening and when.</w:t>
            </w:r>
          </w:p>
        </w:tc>
        <w:tc>
          <w:tcPr>
            <w:tcW w:type="dxa" w:w="155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19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666666"/>
                <w:sz w:val="14"/>
                <w:szCs w:val="14"/>
              </w:rPr>
              <w:t xml:space="preserve">Not started</w:t>
            </w:r>
          </w:p>
        </w:tc>
      </w:tr>
    </w:tbl>
    <w:p>
      <w:r>
        <w:br w:type="page"/>
      </w:r>
    </w:p>
    <w:p>
      <w:pPr>
        <w:pStyle w:val="Heading1"/>
        <w:spacing w:after="80" w:before="0"/>
      </w:pPr>
      <w:r>
        <w:rPr>
          <w:rFonts w:ascii="Calibri" w:cs="Calibri" w:eastAsia="Calibri" w:hAnsi="Calibri"/>
          <w:b w:val="false"/>
          <w:bCs w:val="false"/>
          <w:i w:val="false"/>
          <w:iCs w:val="false"/>
          <w:caps w:val="false"/>
          <w:color w:val="FF3B30"/>
          <w:sz w:val="20"/>
          <w:szCs w:val="20"/>
        </w:rPr>
        <w:t xml:space="preserve">Final Go / No-Go decision</w:t>
      </w:r>
    </w:p>
    <w:p>
      <w:pPr>
        <w:spacing w:after="120" w:before="0"/>
      </w:pPr>
      <w:r>
        <w:rPr>
          <w:rFonts w:ascii="Calibri" w:cs="Calibri" w:eastAsia="Calibri" w:hAnsi="Calibri"/>
          <w:b w:val="false"/>
          <w:bCs w:val="false"/>
          <w:i w:val="false"/>
          <w:iCs w:val="false"/>
          <w:caps w:val="false"/>
          <w:color w:val="1A1A1A"/>
          <w:sz w:val="20"/>
          <w:szCs w:val="20"/>
        </w:rPr>
        <w:t xml:space="preserve">Spinr proceeds to production only when every P0 gate is GREEN. Each accountable owner signs their gate; the launch director records the final decision.</w:t>
      </w:r>
    </w:p>
    <w:tbl>
      <w:tblPr>
        <w:tblW w:type="dxa" w:w="10440"/>
        <w:tblBorders>
          <w:top w:val="single" w:color="D9D9D9" w:sz="2"/>
          <w:left w:val="single" w:color="D9D9D9" w:sz="2"/>
          <w:bottom w:val="single" w:color="D9D9D9" w:sz="2"/>
          <w:right w:val="single" w:color="D9D9D9" w:sz="2"/>
          <w:insideH w:val="single" w:color="E5E5E5" w:sz="2"/>
          <w:insideV w:val="single" w:color="E5E5E5" w:sz="2"/>
        </w:tblBorders>
      </w:tblPr>
      <w:tblGrid>
        <w:gridCol w:w="620"/>
        <w:gridCol w:w="4000"/>
        <w:gridCol w:w="2100"/>
        <w:gridCol w:w="1360"/>
        <w:gridCol w:w="2360"/>
      </w:tblGrid>
      <w:tr>
        <w:trPr>
          <w:tblHeader/>
        </w:trPr>
        <w:tc>
          <w:tcPr>
            <w:tcW w:type="dxa" w:w="62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w:t>
            </w:r>
          </w:p>
        </w:tc>
        <w:tc>
          <w:tcPr>
            <w:tcW w:type="dxa" w:w="40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Gate</w:t>
            </w:r>
          </w:p>
        </w:tc>
        <w:tc>
          <w:tcPr>
            <w:tcW w:type="dxa" w:w="210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Owner</w:t>
            </w:r>
          </w:p>
        </w:tc>
        <w:tc>
          <w:tcPr>
            <w:tcW w:type="dxa" w:w="136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RAG (G/A/R)</w:t>
            </w:r>
          </w:p>
        </w:tc>
        <w:tc>
          <w:tcPr>
            <w:tcW w:type="dxa" w:w="2360"/>
            <w:shd w:fill="D32F2F" w:val="clear"/>
            <w:tcMar>
              <w:top w:type="dxa" w:w="40"/>
              <w:left w:type="dxa" w:w="70"/>
              <w:bottom w:type="dxa" w:w="40"/>
              <w:right w:type="dxa" w:w="70"/>
            </w:tcMar>
          </w:tcPr>
          <w:p>
            <w:pPr>
              <w:spacing w:after="80" w:before="0"/>
            </w:pPr>
            <w:r>
              <w:rPr>
                <w:rFonts w:ascii="Calibri" w:cs="Calibri" w:eastAsia="Calibri" w:hAnsi="Calibri"/>
                <w:b/>
                <w:bCs/>
                <w:i w:val="false"/>
                <w:iCs w:val="false"/>
                <w:caps w:val="false"/>
                <w:color w:val="FFFFFF"/>
                <w:sz w:val="15"/>
                <w:szCs w:val="15"/>
              </w:rPr>
              <w:t xml:space="preserve">Signature / date</w:t>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A</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Code-review remediation</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B</w:t>
            </w:r>
          </w:p>
        </w:tc>
        <w:tc>
          <w:tcPr>
            <w:tcW w:type="dxa" w:w="4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Test pipeline &amp; quality</w:t>
            </w:r>
          </w:p>
        </w:tc>
        <w:tc>
          <w:tcPr>
            <w:tcW w:type="dxa" w:w="2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C</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Data integrity &amp; remediation</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D</w:t>
            </w:r>
          </w:p>
        </w:tc>
        <w:tc>
          <w:tcPr>
            <w:tcW w:type="dxa" w:w="4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Security &amp; privacy</w:t>
            </w:r>
          </w:p>
        </w:tc>
        <w:tc>
          <w:tcPr>
            <w:tcW w:type="dxa" w:w="2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E</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Payments &amp; financial</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F</w:t>
            </w:r>
          </w:p>
        </w:tc>
        <w:tc>
          <w:tcPr>
            <w:tcW w:type="dxa" w:w="4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Regulatory &amp; legal</w:t>
            </w:r>
          </w:p>
        </w:tc>
        <w:tc>
          <w:tcPr>
            <w:tcW w:type="dxa" w:w="2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G</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Reliability &amp; SLA</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H</w:t>
            </w:r>
          </w:p>
        </w:tc>
        <w:tc>
          <w:tcPr>
            <w:tcW w:type="dxa" w:w="4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Observability &amp; incident</w:t>
            </w:r>
          </w:p>
        </w:tc>
        <w:tc>
          <w:tcPr>
            <w:tcW w:type="dxa" w:w="2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Mobile release (P1)</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J</w:t>
            </w:r>
          </w:p>
        </w:tc>
        <w:tc>
          <w:tcPr>
            <w:tcW w:type="dxa" w:w="40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Infra, ops &amp; DR</w:t>
            </w:r>
          </w:p>
        </w:tc>
        <w:tc>
          <w:tcPr>
            <w:tcW w:type="dxa" w:w="210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5F5F5"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r>
        <w:tc>
          <w:tcPr>
            <w:tcW w:type="dxa" w:w="62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K</w:t>
            </w:r>
          </w:p>
        </w:tc>
        <w:tc>
          <w:tcPr>
            <w:tcW w:type="dxa" w:w="40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Launch governance</w:t>
            </w:r>
          </w:p>
        </w:tc>
        <w:tc>
          <w:tcPr>
            <w:tcW w:type="dxa" w:w="210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1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c>
          <w:tcPr>
            <w:tcW w:type="dxa" w:w="2360"/>
            <w:shd w:fill="FFFFFF" w:val="clear"/>
            <w:tcMar>
              <w:top w:type="dxa" w:w="40"/>
              <w:left w:type="dxa" w:w="70"/>
              <w:bottom w:type="dxa" w:w="40"/>
              <w:right w:type="dxa" w:w="70"/>
            </w:tcMar>
          </w:tcPr>
          <w:p>
            <w:pPr>
              <w:spacing w:after="80" w:before="0"/>
            </w:pPr>
            <w:r>
              <w:rPr>
                <w:rFonts w:ascii="Calibri" w:cs="Calibri" w:eastAsia="Calibri" w:hAnsi="Calibri"/>
                <w:b w:val="false"/>
                <w:bCs w:val="false"/>
                <w:i w:val="false"/>
                <w:iCs w:val="false"/>
                <w:caps w:val="false"/>
                <w:color w:val="1A1A1A"/>
                <w:sz w:val="16"/>
                <w:szCs w:val="16"/>
              </w:rPr>
              <w:t xml:space="preserve"/>
            </w:r>
          </w:p>
        </w:tc>
      </w:tr>
    </w:tbl>
    <w:p>
      <w:pPr>
        <w:spacing w:after="120" w:before="0"/>
      </w:pPr>
      <w:r>
        <w:rPr>
          <w:rFonts w:ascii="Calibri" w:cs="Calibri" w:eastAsia="Calibri" w:hAnsi="Calibri"/>
          <w:b w:val="false"/>
          <w:bCs w:val="false"/>
          <w:i w:val="false"/>
          <w:iCs w:val="false"/>
          <w:caps w:val="false"/>
          <w:color w:val="1A1A1A"/>
          <w:sz w:val="20"/>
          <w:szCs w:val="20"/>
        </w:rPr>
        <w:t xml:space="preserve"/>
      </w:r>
    </w:p>
    <w:p>
      <w:pPr>
        <w:spacing w:after="120" w:before="0"/>
      </w:pPr>
      <w:r>
        <w:rPr>
          <w:rFonts w:ascii="Calibri" w:cs="Calibri" w:eastAsia="Calibri" w:hAnsi="Calibri"/>
          <w:b/>
          <w:bCs/>
          <w:i w:val="false"/>
          <w:iCs w:val="false"/>
          <w:caps w:val="false"/>
          <w:color w:val="1A1A1A"/>
          <w:sz w:val="24"/>
          <w:szCs w:val="24"/>
        </w:rPr>
        <w:t xml:space="preserve">Final decision: </w:t>
      </w:r>
      <w:r>
        <w:rPr>
          <w:rFonts w:ascii="Calibri" w:cs="Calibri" w:eastAsia="Calibri" w:hAnsi="Calibri"/>
          <w:b w:val="false"/>
          <w:bCs w:val="false"/>
          <w:i w:val="false"/>
          <w:iCs w:val="false"/>
          <w:caps w:val="false"/>
          <w:color w:val="1A1A1A"/>
          <w:sz w:val="22"/>
          <w:szCs w:val="22"/>
        </w:rPr>
        <w:t xml:space="preserve">  ☐ GO      ☐ NO-GO      ☐ CONDITIONAL GO (list conditions below)</w:t>
      </w:r>
    </w:p>
    <w:p>
      <w:pPr>
        <w:spacing w:after="80" w:before="0"/>
      </w:pPr>
      <w:r>
        <w:rPr>
          <w:rFonts w:ascii="Calibri" w:cs="Calibri" w:eastAsia="Calibri" w:hAnsi="Calibri"/>
          <w:b w:val="false"/>
          <w:bCs w:val="false"/>
          <w:i w:val="false"/>
          <w:iCs w:val="false"/>
          <w:caps w:val="false"/>
          <w:color w:val="666666"/>
          <w:sz w:val="20"/>
          <w:szCs w:val="20"/>
        </w:rPr>
        <w:t xml:space="preserve">Conditions / accepted waivers: ______________________________________________________________</w:t>
      </w:r>
    </w:p>
    <w:p>
      <w:pPr>
        <w:spacing w:after="120" w:before="0"/>
      </w:pPr>
      <w:r>
        <w:rPr>
          <w:rFonts w:ascii="Calibri" w:cs="Calibri" w:eastAsia="Calibri" w:hAnsi="Calibri"/>
          <w:b w:val="false"/>
          <w:bCs w:val="false"/>
          <w:i w:val="false"/>
          <w:iCs w:val="false"/>
          <w:caps w:val="false"/>
          <w:color w:val="666666"/>
          <w:sz w:val="20"/>
          <w:szCs w:val="20"/>
        </w:rPr>
        <w:t xml:space="preserve">_____________________________________________________________________________________________</w:t>
      </w:r>
    </w:p>
    <w:p>
      <w:pPr>
        <w:spacing w:after="120" w:before="0"/>
      </w:pPr>
      <w:r>
        <w:rPr>
          <w:rFonts w:ascii="Calibri" w:cs="Calibri" w:eastAsia="Calibri" w:hAnsi="Calibri"/>
          <w:b/>
          <w:bCs/>
          <w:i w:val="false"/>
          <w:iCs w:val="false"/>
          <w:caps w:val="false"/>
          <w:color w:val="1A1A1A"/>
          <w:sz w:val="20"/>
          <w:szCs w:val="20"/>
        </w:rPr>
        <w:t xml:space="preserve">Launch director: </w:t>
      </w:r>
      <w:r>
        <w:rPr>
          <w:rFonts w:ascii="Calibri" w:cs="Calibri" w:eastAsia="Calibri" w:hAnsi="Calibri"/>
          <w:b w:val="false"/>
          <w:bCs w:val="false"/>
          <w:i w:val="false"/>
          <w:iCs w:val="false"/>
          <w:caps w:val="false"/>
          <w:color w:val="666666"/>
          <w:sz w:val="20"/>
          <w:szCs w:val="20"/>
        </w:rPr>
        <w:t xml:space="preserve">______________________________     Date: __________________</w:t>
      </w:r>
    </w:p>
    <w:p>
      <w:pPr>
        <w:pBdr>
          <w:top w:val="single" w:color="FFD700" w:sz="8" w:space="6"/>
        </w:pBdr>
        <w:spacing w:after="40" w:before="80"/>
      </w:pPr>
      <w:r>
        <w:rPr>
          <w:rFonts w:ascii="Calibri" w:cs="Calibri" w:eastAsia="Calibri" w:hAnsi="Calibri"/>
          <w:b w:val="false"/>
          <w:bCs w:val="false"/>
          <w:i w:val="false"/>
          <w:iCs w:val="false"/>
          <w:caps w:val="false"/>
          <w:color w:val="1A1A1A"/>
          <w:sz w:val="20"/>
          <w:szCs w:val="20"/>
        </w:rPr>
        <w:t xml:space="preserve"/>
      </w:r>
    </w:p>
    <w:p>
      <w:pPr>
        <w:spacing w:after="80" w:before="0"/>
      </w:pPr>
      <w:r>
        <w:rPr>
          <w:rFonts w:ascii="Calibri" w:cs="Calibri" w:eastAsia="Calibri" w:hAnsi="Calibri"/>
          <w:b/>
          <w:bCs/>
          <w:i w:val="false"/>
          <w:iCs w:val="false"/>
          <w:caps w:val="false"/>
          <w:color w:val="FF3B30"/>
          <w:sz w:val="18"/>
          <w:szCs w:val="18"/>
        </w:rPr>
        <w:t xml:space="preserve">spinr</w:t>
      </w:r>
      <w:r>
        <w:rPr>
          <w:rFonts w:ascii="Calibri" w:cs="Calibri" w:eastAsia="Calibri" w:hAnsi="Calibri"/>
          <w:b/>
          <w:bCs/>
          <w:i w:val="false"/>
          <w:iCs w:val="false"/>
          <w:caps w:val="false"/>
          <w:color w:val="FFD700"/>
          <w:sz w:val="18"/>
          <w:szCs w:val="18"/>
        </w:rPr>
        <w:t xml:space="preserve">.  </w:t>
      </w:r>
      <w:r>
        <w:rPr>
          <w:rFonts w:ascii="Calibri" w:cs="Calibri" w:eastAsia="Calibri" w:hAnsi="Calibri"/>
          <w:b w:val="false"/>
          <w:bCs w:val="false"/>
          <w:i/>
          <w:iCs/>
          <w:caps w:val="false"/>
          <w:color w:val="666666"/>
          <w:sz w:val="14"/>
          <w:szCs w:val="14"/>
        </w:rPr>
        <w:t xml:space="preserve">Production Readiness &amp; Launch Gate Checklist · Confidential — Internal</w:t>
      </w:r>
    </w:p>
    <w:sectPr>
      <w:pgSz w:w="12240" w:h="15840" w:orient="portrait"/>
      <w:pgMar w:top="9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 — Production Readiness &amp; Launch Gate Checklist</dc:title>
  <dc:creator>Spinr</dc:creator>
  <cp:lastModifiedBy>Un-named</cp:lastModifiedBy>
  <cp:revision>1</cp:revision>
  <dcterms:created xsi:type="dcterms:W3CDTF">2026-07-24T04:01:11.631Z</dcterms:created>
  <dcterms:modified xsi:type="dcterms:W3CDTF">2026-07-24T04:01:11.651Z</dcterms:modified>
</cp:coreProperties>
</file>

<file path=docProps/custom.xml><?xml version="1.0" encoding="utf-8"?>
<Properties xmlns="http://schemas.openxmlformats.org/officeDocument/2006/custom-properties" xmlns:vt="http://schemas.openxmlformats.org/officeDocument/2006/docPropsVTypes"/>
</file>