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b/>
          <w:bCs/>
          <w:color w:val="1F2A44"/>
          <w:sz w:val="56"/>
          <w:szCs w:val="56"/>
        </w:rPr>
        <w:t xml:space="preserve">Spinr Platform</w:t>
      </w:r>
    </w:p>
    <w:p>
      <w:pPr>
        <w:spacing w:after="40"/>
      </w:pPr>
      <w:r>
        <w:rPr>
          <w:color w:val="2563EB"/>
          <w:sz w:val="30"/>
          <w:szCs w:val="30"/>
        </w:rPr>
        <w:t xml:space="preserve">Skills Catalogue Consolidation &amp; Code-Review Recommendations</w:t>
      </w:r>
    </w:p>
    <w:p>
      <w:pPr>
        <w:spacing w:after="400"/>
      </w:pPr>
      <w:r>
        <w:rPr>
          <w:i/>
          <w:iCs/>
          <w:color w:val="6B7280"/>
          <w:sz w:val="20"/>
          <w:szCs w:val="20"/>
        </w:rPr>
        <w:t xml:space="preserve">Driver / Rider App Review — branch claude/driver-rider-app-review-knm7up</w:t>
      </w:r>
    </w:p>
    <w:p>
      <w:pPr>
        <w:pBdr>
          <w:top w:val="single" w:color="2563EB" w:sz="6"/>
        </w:pBdr>
        <w:spacing w:after="200"/>
      </w:pPr>
    </w:p>
    <w:p>
      <w:pPr>
        <w:spacing w:after="120"/>
      </w:pPr>
      <w:r>
        <w:rPr>
          <w:b/>
          <w:bCs/>
          <w:sz w:val="21"/>
          <w:szCs w:val="21"/>
        </w:rPr>
        <w:t xml:space="preserve">Prepared for: </w:t>
      </w:r>
      <w:r>
        <w:rPr>
          <w:sz w:val="21"/>
          <w:szCs w:val="21"/>
        </w:rPr>
        <w:t xml:space="preserve">Spinr engineering (vikas@ngitservices.com)</w:t>
      </w:r>
    </w:p>
    <w:p>
      <w:pPr>
        <w:spacing w:after="120"/>
      </w:pPr>
      <w:r>
        <w:rPr>
          <w:b/>
          <w:bCs/>
          <w:sz w:val="21"/>
          <w:szCs w:val="21"/>
        </w:rPr>
        <w:t xml:space="preserve">Date: </w:t>
      </w:r>
      <w:r>
        <w:rPr>
          <w:sz w:val="21"/>
          <w:szCs w:val="21"/>
        </w:rPr>
        <w:t xml:space="preserve">24 July 2026</w:t>
      </w:r>
    </w:p>
    <w:p>
      <w:pPr>
        <w:spacing w:after="120"/>
      </w:pPr>
      <w:r>
        <w:rPr>
          <w:b/>
          <w:bCs/>
          <w:sz w:val="21"/>
          <w:szCs w:val="21"/>
        </w:rPr>
        <w:t xml:space="preserve">Scope: </w:t>
      </w:r>
      <w:r>
        <w:rPr>
          <w:sz w:val="21"/>
          <w:szCs w:val="21"/>
        </w:rPr>
        <w:t xml:space="preserve">Skills catalogue relevance for a ride-share product + line-by-line review of the current review branch (backend route reconstruction, shared Firebase notification service, rider/driver app notification UX).</w:t>
      </w:r>
    </w:p>
    <w:p>
      <w:r>
        <w:br w:type="page"/>
      </w: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Executive Summary</w:t>
      </w:r>
    </w:p>
    <w:p>
      <w:pPr>
        <w:spacing w:after="120"/>
      </w:pPr>
      <w:r>
        <w:rPr>
          <w:sz w:val="21"/>
          <w:szCs w:val="21"/>
        </w:rPr>
        <w:t xml:space="preserve">This document delivers two things requested in the working session: (a) a recommendation on how the available Skills catalogue should be updated, consolidated, and segmented so it actually serves a ride-share product, and (b) the observations gathered during a line-by-line code review of the current review branch.</w:t>
      </w:r>
    </w:p>
    <w:p>
      <w:pPr>
        <w:spacing w:after="120"/>
      </w:pPr>
      <w:r>
        <w:rPr>
          <w:sz w:val="21"/>
          <w:szCs w:val="21"/>
        </w:rPr>
        <w:t xml:space="preserve">On the skills side, the environment exposes roughly eighty general-purpose skills (SEO, real-estate, voiceover, automotive listings, and so on). Only a small subset is relevant to Spinr, and the ride-share-specific engineering knowledge that the team relies on daily lives in CLAUDE.md and the .claude slash-commands rather than in reusable skills. The recommendation is to segment the catalogue into three tiers — Keep, Consolidate, Retire — and to promote the domain rules that are currently buried in CLAUDE.md into first-class Spinr skills.</w:t>
      </w:r>
    </w:p>
    <w:p>
      <w:pPr>
        <w:spacing w:after="120"/>
      </w:pPr>
      <w:r>
        <w:rPr>
          <w:sz w:val="21"/>
          <w:szCs w:val="21"/>
        </w:rPr>
        <w:t xml:space="preserve">On the code side, the branch is a solid, well-intentioned improvement to notification permissions and completed-route reconstruction. It ships two real regressions worth fixing before merge: the "adaptive endpoint tolerance" in route reconstruction is documented but not actually implemented (any raw coordinate is accepted unconditionally), and the new haversine fallback has no distance sanity cap, so a single bad GPS endpoint can silently inflate the displayed/audited route. Both run against the CLAUDE.md rule "do not silently swallow errors." Details, severities, and fixes are in Section 3.</w:t>
      </w:r>
    </w:p>
    <w:p>
      <w:pPr>
        <w:spacing w:after="120"/>
      </w:pPr>
      <w:r>
        <w:rPr>
          <w:i/>
          <w:iCs/>
          <w:color w:val="6B7280"/>
          <w:sz w:val="21"/>
          <w:szCs w:val="21"/>
        </w:rPr>
        <w:t xml:space="preserve">Note on the "chat-session issues": the specific items raised verbally were not available to this reviewer in machine-readable form. The recommendations below therefore combine (i) the code defects found directly in the diff and (ii) the standing conventions encoded in CLAUDE.md. Any verbal item not covered here should be sent over so it can be folded into a revision.</w:t>
      </w:r>
    </w:p>
    <w:p>
      <w:r>
        <w:br w:type="page"/>
      </w:r>
    </w:p>
    <w:p>
      <w:pPr>
        <w:pStyle w:val="Heading1"/>
        <w:spacing w:after="120" w:before="240"/>
      </w:pPr>
      <w:r>
        <w:t xml:space="preserve">2. Skills Section — Consolidate &amp; Segment</w:t>
      </w:r>
    </w:p>
    <w:p>
      <w:pPr>
        <w:pStyle w:val="Heading2"/>
        <w:spacing w:after="120" w:before="240"/>
      </w:pPr>
      <w:r>
        <w:t xml:space="preserve">2.1 The problem</w:t>
      </w:r>
    </w:p>
    <w:p>
      <w:pPr>
        <w:spacing w:after="120"/>
      </w:pPr>
      <w:r>
        <w:rPr>
          <w:sz w:val="21"/>
          <w:szCs w:val="21"/>
        </w:rPr>
        <w:t xml:space="preserve">The Skills catalogue is a generic marketplace bundle. For a Saskatchewan-first ride-share platform, most entries are noise, and the noise has a real cost: skills are matched by their descriptions, so a large pool of irrelevant skills raises the chance of a wrong trigger (for example, "auto-listings" or "real-estate-listings" firing on a ride/vehicle query) and dilutes the model's attention. Meanwhile the knowledge the team actually depends on — the ride state machine, surge cap, insurance periods, Decimal money rules, PIPEDA logging rules — is documented only in CLAUDE.md and is not packaged as a reusable, auto-triggering skill.</w:t>
      </w:r>
    </w:p>
    <w:p>
      <w:pPr>
        <w:pStyle w:val="Heading2"/>
        <w:spacing w:after="120" w:before="240"/>
      </w:pPr>
      <w:r>
        <w:t xml:space="preserve">2.2 Recommended segmentation</w:t>
      </w:r>
    </w:p>
    <w:p>
      <w:pPr>
        <w:spacing w:after="120"/>
      </w:pPr>
      <w:r>
        <w:rPr>
          <w:sz w:val="21"/>
          <w:szCs w:val="21"/>
        </w:rPr>
        <w:t xml:space="preserve">Split the catalogue into three tiers. Tier 1 stays and is actively used; Tier 2 is consolidated into a smaller number of Spinr-scoped skills; Tier 3 is retired from this project (kept out of the ride-share workspace, not deleted globally).</w:t>
      </w:r>
    </w:p>
    <w:tbl>
      <w:tblPr>
        <w:tblW w:type="dxa" w:w="9300"/>
        <w:tblBorders>
          <w:top w:val="single" w:color="D1D5DB" w:sz="2"/>
          <w:left w:val="single" w:color="D1D5DB" w:sz="2"/>
          <w:bottom w:val="single" w:color="D1D5DB" w:sz="2"/>
          <w:right w:val="single" w:color="D1D5DB" w:sz="2"/>
          <w:insideH w:val="single" w:color="E5E7EB" w:sz="1"/>
          <w:insideV w:val="single" w:color="E5E7EB" w:sz="1"/>
        </w:tblBorders>
      </w:tblPr>
      <w:tblGrid>
        <w:gridCol w:w="1500"/>
        <w:gridCol w:w="3400"/>
        <w:gridCol w:w="4400"/>
      </w:tblGrid>
      <w:tr>
        <w:trPr>
          <w:tblHeader/>
        </w:trPr>
        <w:tc>
          <w:tcPr>
            <w:tcW w:type="dxa" w:w="1500"/>
            <w:shd w:fill="1F2A44" w:color="auto" w:val="clear"/>
            <w:tcMar>
              <w:top w:type="dxa" w:w="60"/>
              <w:left w:type="dxa" w:w="90"/>
              <w:bottom w:type="dxa" w:w="60"/>
              <w:right w:type="dxa" w:w="90"/>
            </w:tcMar>
          </w:tcPr>
          <w:p>
            <w:pPr>
              <w:spacing w:after="20"/>
            </w:pPr>
            <w:r>
              <w:rPr>
                <w:b/>
                <w:bCs/>
                <w:color w:val="FFFFFF"/>
                <w:sz w:val="19"/>
                <w:szCs w:val="19"/>
              </w:rPr>
              <w:t xml:space="preserve">Tier</w:t>
            </w:r>
          </w:p>
        </w:tc>
        <w:tc>
          <w:tcPr>
            <w:tcW w:type="dxa" w:w="3400"/>
            <w:shd w:fill="1F2A44" w:color="auto" w:val="clear"/>
            <w:tcMar>
              <w:top w:type="dxa" w:w="60"/>
              <w:left w:type="dxa" w:w="90"/>
              <w:bottom w:type="dxa" w:w="60"/>
              <w:right w:type="dxa" w:w="90"/>
            </w:tcMar>
          </w:tcPr>
          <w:p>
            <w:pPr>
              <w:spacing w:after="20"/>
            </w:pPr>
            <w:r>
              <w:rPr>
                <w:b/>
                <w:bCs/>
                <w:color w:val="FFFFFF"/>
                <w:sz w:val="19"/>
                <w:szCs w:val="19"/>
              </w:rPr>
              <w:t xml:space="preserve">Skills</w:t>
            </w:r>
          </w:p>
        </w:tc>
        <w:tc>
          <w:tcPr>
            <w:tcW w:type="dxa" w:w="4400"/>
            <w:shd w:fill="1F2A44" w:color="auto" w:val="clear"/>
            <w:tcMar>
              <w:top w:type="dxa" w:w="60"/>
              <w:left w:type="dxa" w:w="90"/>
              <w:bottom w:type="dxa" w:w="60"/>
              <w:right w:type="dxa" w:w="90"/>
            </w:tcMar>
          </w:tcPr>
          <w:p>
            <w:pPr>
              <w:spacing w:after="20"/>
            </w:pPr>
            <w:r>
              <w:rPr>
                <w:b/>
                <w:bCs/>
                <w:color w:val="FFFFFF"/>
                <w:sz w:val="19"/>
                <w:szCs w:val="19"/>
              </w:rPr>
              <w:t xml:space="preserve">Action</w:t>
            </w:r>
          </w:p>
        </w:tc>
      </w:tr>
      <w:tr>
        <w:tc>
          <w:tcPr>
            <w:tcW w:type="dxa" w:w="1500"/>
            <w:shd w:fill="DCFCE7" w:color="auto" w:val="clear"/>
            <w:tcMar>
              <w:top w:type="dxa" w:w="60"/>
              <w:left w:type="dxa" w:w="90"/>
              <w:bottom w:type="dxa" w:w="60"/>
              <w:right w:type="dxa" w:w="90"/>
            </w:tcMar>
          </w:tcPr>
          <w:p>
            <w:pPr>
              <w:spacing w:after="20"/>
            </w:pPr>
            <w:r>
              <w:rPr>
                <w:b/>
                <w:bCs/>
                <w:sz w:val="19"/>
                <w:szCs w:val="19"/>
              </w:rPr>
              <w:t xml:space="preserve">Tier 1 — Keep</w:t>
            </w:r>
          </w:p>
        </w:tc>
        <w:tc>
          <w:tcPr>
            <w:tcW w:type="dxa" w:w="3400"/>
            <w:tcMar>
              <w:top w:type="dxa" w:w="60"/>
              <w:left w:type="dxa" w:w="90"/>
              <w:bottom w:type="dxa" w:w="60"/>
              <w:right w:type="dxa" w:w="90"/>
            </w:tcMar>
          </w:tcPr>
          <w:p>
            <w:pPr>
              <w:spacing w:after="20"/>
            </w:pPr>
            <w:r>
              <w:rPr>
                <w:sz w:val="19"/>
                <w:szCs w:val="19"/>
              </w:rPr>
              <w:t xml:space="preserve">react-native-expo</w:t>
            </w:r>
          </w:p>
          <w:p>
            <w:pPr>
              <w:spacing w:after="20"/>
            </w:pPr>
            <w:r>
              <w:rPr>
                <w:sz w:val="19"/>
                <w:szCs w:val="19"/>
              </w:rPr>
              <w:t xml:space="preserve">nextjs-fullstack</w:t>
            </w:r>
          </w:p>
          <w:p>
            <w:pPr>
              <w:spacing w:after="20"/>
            </w:pPr>
            <w:r>
              <w:rPr>
                <w:sz w:val="19"/>
                <w:szCs w:val="19"/>
              </w:rPr>
              <w:t xml:space="preserve">database-design</w:t>
            </w:r>
          </w:p>
          <w:p>
            <w:pPr>
              <w:spacing w:after="20"/>
            </w:pPr>
            <w:r>
              <w:rPr>
                <w:sz w:val="19"/>
                <w:szCs w:val="19"/>
              </w:rPr>
              <w:t xml:space="preserve">rest-api</w:t>
            </w:r>
          </w:p>
          <w:p>
            <w:pPr>
              <w:spacing w:after="20"/>
            </w:pPr>
            <w:r>
              <w:rPr>
                <w:sz w:val="19"/>
                <w:szCs w:val="19"/>
              </w:rPr>
              <w:t xml:space="preserve">observability-monitoring</w:t>
            </w:r>
          </w:p>
          <w:p>
            <w:pPr>
              <w:spacing w:after="20"/>
            </w:pPr>
            <w:r>
              <w:rPr>
                <w:sz w:val="19"/>
                <w:szCs w:val="19"/>
              </w:rPr>
              <w:t xml:space="preserve">security-sast-dast</w:t>
            </w:r>
          </w:p>
          <w:p>
            <w:pPr>
              <w:spacing w:after="20"/>
            </w:pPr>
            <w:r>
              <w:rPr>
                <w:sz w:val="19"/>
                <w:szCs w:val="19"/>
              </w:rPr>
              <w:t xml:space="preserve">privacy-pia</w:t>
            </w:r>
          </w:p>
          <w:p>
            <w:pPr>
              <w:spacing w:after="20"/>
            </w:pPr>
            <w:r>
              <w:rPr>
                <w:sz w:val="19"/>
                <w:szCs w:val="19"/>
              </w:rPr>
              <w:t xml:space="preserve">docx / pptx / xlsx / pdf</w:t>
            </w:r>
          </w:p>
          <w:p>
            <w:pPr>
              <w:spacing w:after="20"/>
            </w:pPr>
            <w:r>
              <w:rPr>
                <w:sz w:val="19"/>
                <w:szCs w:val="19"/>
              </w:rPr>
              <w:t xml:space="preserve">the .claude slash-commands (/review, /fare-audit, /migration-check, /incident, /pr, /commit)</w:t>
            </w:r>
          </w:p>
        </w:tc>
        <w:tc>
          <w:tcPr>
            <w:tcW w:type="dxa" w:w="4400"/>
            <w:tcMar>
              <w:top w:type="dxa" w:w="60"/>
              <w:left w:type="dxa" w:w="90"/>
              <w:bottom w:type="dxa" w:w="60"/>
              <w:right w:type="dxa" w:w="90"/>
            </w:tcMar>
          </w:tcPr>
          <w:p>
            <w:pPr>
              <w:spacing w:after="20"/>
            </w:pPr>
            <w:r>
              <w:rPr>
                <w:sz w:val="19"/>
                <w:szCs w:val="19"/>
              </w:rPr>
              <w:t xml:space="preserve">Directly map to Spinr surfaces (RN apps, Next.js admin, Supabase, FastAPI) and to Canadian compliance. Keep and reference explicitly in CLAUDE.md so they trigger reliably.</w:t>
            </w:r>
          </w:p>
        </w:tc>
      </w:tr>
      <w:tr>
        <w:tc>
          <w:tcPr>
            <w:tcW w:type="dxa" w:w="1500"/>
            <w:shd w:fill="FEF3C7" w:color="auto" w:val="clear"/>
            <w:tcMar>
              <w:top w:type="dxa" w:w="60"/>
              <w:left w:type="dxa" w:w="90"/>
              <w:bottom w:type="dxa" w:w="60"/>
              <w:right w:type="dxa" w:w="90"/>
            </w:tcMar>
          </w:tcPr>
          <w:p>
            <w:pPr>
              <w:spacing w:after="20"/>
            </w:pPr>
            <w:r>
              <w:rPr>
                <w:b/>
                <w:bCs/>
                <w:sz w:val="19"/>
                <w:szCs w:val="19"/>
              </w:rPr>
              <w:t xml:space="preserve">Tier 2 — Consolidate</w:t>
            </w:r>
          </w:p>
        </w:tc>
        <w:tc>
          <w:tcPr>
            <w:tcW w:type="dxa" w:w="3400"/>
            <w:tcMar>
              <w:top w:type="dxa" w:w="60"/>
              <w:left w:type="dxa" w:w="90"/>
              <w:bottom w:type="dxa" w:w="60"/>
              <w:right w:type="dxa" w:w="90"/>
            </w:tcMar>
          </w:tcPr>
          <w:p>
            <w:pPr>
              <w:spacing w:after="20"/>
            </w:pPr>
            <w:r>
              <w:rPr>
                <w:sz w:val="19"/>
                <w:szCs w:val="19"/>
              </w:rPr>
              <w:t xml:space="preserve">cybersecurity-* (three overlapping skills)</w:t>
            </w:r>
          </w:p>
          <w:p>
            <w:pPr>
              <w:spacing w:after="20"/>
            </w:pPr>
            <w:r>
              <w:rPr>
                <w:sz w:val="19"/>
                <w:szCs w:val="19"/>
              </w:rPr>
              <w:t xml:space="preserve">nist-800-53-controls</w:t>
            </w:r>
          </w:p>
          <w:p>
            <w:pPr>
              <w:spacing w:after="20"/>
            </w:pPr>
            <w:r>
              <w:rPr>
                <w:sz w:val="19"/>
                <w:szCs w:val="19"/>
              </w:rPr>
              <w:t xml:space="preserve">real-estate-investment-sk / bc / alberta (three near-duplicates)</w:t>
            </w:r>
          </w:p>
          <w:p>
            <w:pPr>
              <w:spacing w:after="20"/>
            </w:pPr>
            <w:r>
              <w:rPr>
                <w:sz w:val="19"/>
                <w:szCs w:val="19"/>
              </w:rPr>
              <w:t xml:space="preserve">tech-arch-doc + project-mgmt-docs + training-docs + sdlc-full-lifecycle (overlapping doc generators)</w:t>
            </w:r>
          </w:p>
        </w:tc>
        <w:tc>
          <w:tcPr>
            <w:tcW w:type="dxa" w:w="4400"/>
            <w:tcMar>
              <w:top w:type="dxa" w:w="60"/>
              <w:left w:type="dxa" w:w="90"/>
              <w:bottom w:type="dxa" w:w="60"/>
              <w:right w:type="dxa" w:w="90"/>
            </w:tcMar>
          </w:tcPr>
          <w:p>
            <w:pPr>
              <w:spacing w:after="20"/>
            </w:pPr>
            <w:r>
              <w:rPr>
                <w:sz w:val="19"/>
                <w:szCs w:val="19"/>
              </w:rPr>
              <w:t xml:space="preserve">Heavy description overlap causes trigger ambiguity. Fold each cluster into one skill (e.g. one "security-review" scoped to Spinr; one Canadian real-estate skill if needed at all; one "spinr-docs" generator). Fewer, sharper descriptions match better.</w:t>
            </w:r>
          </w:p>
        </w:tc>
      </w:tr>
      <w:tr>
        <w:tc>
          <w:tcPr>
            <w:tcW w:type="dxa" w:w="1500"/>
            <w:shd w:fill="FDE8E8" w:color="auto" w:val="clear"/>
            <w:tcMar>
              <w:top w:type="dxa" w:w="60"/>
              <w:left w:type="dxa" w:w="90"/>
              <w:bottom w:type="dxa" w:w="60"/>
              <w:right w:type="dxa" w:w="90"/>
            </w:tcMar>
          </w:tcPr>
          <w:p>
            <w:pPr>
              <w:spacing w:after="20"/>
            </w:pPr>
            <w:r>
              <w:rPr>
                <w:b/>
                <w:bCs/>
                <w:sz w:val="19"/>
                <w:szCs w:val="19"/>
              </w:rPr>
              <w:t xml:space="preserve">Tier 3 — Retire</w:t>
            </w:r>
          </w:p>
        </w:tc>
        <w:tc>
          <w:tcPr>
            <w:tcW w:type="dxa" w:w="3400"/>
            <w:tcMar>
              <w:top w:type="dxa" w:w="60"/>
              <w:left w:type="dxa" w:w="90"/>
              <w:bottom w:type="dxa" w:w="60"/>
              <w:right w:type="dxa" w:w="90"/>
            </w:tcMar>
          </w:tcPr>
          <w:p>
            <w:pPr>
              <w:spacing w:after="20"/>
            </w:pPr>
            <w:r>
              <w:rPr>
                <w:sz w:val="19"/>
                <w:szCs w:val="19"/>
              </w:rPr>
              <w:t xml:space="preserve">auto-listings, real-estate-listings, ai-seo-smb, ai-voiceover-audiobook, ai-education-consulting, canadian-codes-app, cybersecurity-ai-services, slack-gif-creator, algorithmic-art, canvas-design, brand-guidelines, theme-factory, morning, learn</w:t>
            </w:r>
          </w:p>
        </w:tc>
        <w:tc>
          <w:tcPr>
            <w:tcW w:type="dxa" w:w="4400"/>
            <w:tcMar>
              <w:top w:type="dxa" w:w="60"/>
              <w:left w:type="dxa" w:w="90"/>
              <w:bottom w:type="dxa" w:w="60"/>
              <w:right w:type="dxa" w:w="90"/>
            </w:tcMar>
          </w:tcPr>
          <w:p>
            <w:pPr>
              <w:spacing w:after="20"/>
            </w:pPr>
            <w:r>
              <w:rPr>
                <w:sz w:val="19"/>
                <w:szCs w:val="19"/>
              </w:rPr>
              <w:t xml:space="preserve">No path to a ride-share workload. Remove from this project so they cannot mis-trigger. "auto-listings" is the most dangerous — its vehicle vocabulary overlaps Spinr's driver-vehicle domain.</w:t>
            </w:r>
          </w:p>
        </w:tc>
      </w:tr>
    </w:tbl>
    <w:p>
      <w:pPr>
        <w:pStyle w:val="Heading2"/>
        <w:spacing w:after="120" w:before="240"/>
      </w:pPr>
      <w:r>
        <w:t xml:space="preserve">2.3 Promote CLAUDE.md rules into Spinr skills</w:t>
      </w:r>
    </w:p>
    <w:p>
      <w:pPr>
        <w:spacing w:after="120"/>
      </w:pPr>
      <w:r>
        <w:rPr>
          <w:sz w:val="21"/>
          <w:szCs w:val="21"/>
        </w:rPr>
        <w:t xml:space="preserve">The highest-value change is to package the recurring, load-bearing Spinr rules as their own auto-triggering skills so they fire on the right task instead of relying on the reader having read CLAUDE.md. Recommended new/segmented skills:</w:t>
      </w:r>
    </w:p>
    <w:p>
      <w:pPr>
        <w:pStyle w:val="ListParagraph"/>
        <w:numPr>
          <w:ilvl w:val="0"/>
          <w:numId w:val="2"/>
        </w:numPr>
        <w:spacing w:after="60"/>
      </w:pPr>
      <w:r>
        <w:rPr>
          <w:sz w:val="21"/>
          <w:szCs w:val="21"/>
        </w:rPr>
        <w:t xml:space="preserve">spinr-money — Decimal-only arithmetic, _d()/_round()/_f(), Stripe idempotency, surge cap 2.5x, receipt line-item transparency. (A spinr-money-auditor sub-agent already exists; give it a matching skill so it triggers on any fare/wallet/Stripe edit.)</w:t>
      </w:r>
    </w:p>
    <w:p>
      <w:pPr>
        <w:pStyle w:val="ListParagraph"/>
        <w:numPr>
          <w:ilvl w:val="0"/>
          <w:numId w:val="2"/>
        </w:numPr>
        <w:spacing w:after="60"/>
      </w:pPr>
      <w:r>
        <w:rPr>
          <w:sz w:val="21"/>
          <w:szCs w:val="21"/>
        </w:rPr>
        <w:t xml:space="preserve">spinr-ride-state — the ride state machine, valid transitions, active_statuses invariant, the searching-&gt;driver_assigned race guard, and the "emit a WebSocket event on every transition" rule.</w:t>
      </w:r>
    </w:p>
    <w:p>
      <w:pPr>
        <w:pStyle w:val="ListParagraph"/>
        <w:numPr>
          <w:ilvl w:val="0"/>
          <w:numId w:val="2"/>
        </w:numPr>
        <w:spacing w:after="60"/>
      </w:pPr>
      <w:r>
        <w:rPr>
          <w:sz w:val="21"/>
          <w:szCs w:val="21"/>
        </w:rPr>
        <w:t xml:space="preserve">spinr-insurance-periods — Period 0-3 derivation from ride state, append-only driver_insurance_periods, the Period 2 = driver_assigned rule.</w:t>
      </w:r>
    </w:p>
    <w:p>
      <w:pPr>
        <w:pStyle w:val="ListParagraph"/>
        <w:numPr>
          <w:ilvl w:val="0"/>
          <w:numId w:val="2"/>
        </w:numPr>
        <w:spacing w:after="60"/>
      </w:pPr>
      <w:r>
        <w:rPr>
          <w:sz w:val="21"/>
          <w:szCs w:val="21"/>
        </w:rPr>
        <w:t xml:space="preserve">spinr-pipeda-logging — the never-log list (raw lat/lng, full phone, names, emails, exact addresses); auto-check log/Sentry/analytics payloads.</w:t>
      </w:r>
    </w:p>
    <w:p>
      <w:pPr>
        <w:pStyle w:val="ListParagraph"/>
        <w:numPr>
          <w:ilvl w:val="0"/>
          <w:numId w:val="2"/>
        </w:numPr>
        <w:spacing w:after="60"/>
      </w:pPr>
      <w:r>
        <w:rPr>
          <w:sz w:val="21"/>
          <w:szCs w:val="21"/>
        </w:rPr>
        <w:t xml:space="preserve">spinr-migration — filename ordering, append-only, RLS-in-same-migration, index-with-query-pattern. (Mirrors the existing spinr-migration-reviewer sub-agent.)</w:t>
      </w:r>
    </w:p>
    <w:p>
      <w:pPr>
        <w:spacing w:after="120"/>
      </w:pPr>
      <w:r>
        <w:rPr>
          <w:b/>
          <w:bCs/>
          <w:sz w:val="21"/>
          <w:szCs w:val="21"/>
        </w:rPr>
        <w:t xml:space="preserve">Net effect: a smaller catalogue (fewer false triggers), sharper descriptions (better true triggers), and the ride-share domain knowledge encoded where it actually gets applied.</w:t>
      </w:r>
    </w:p>
    <w:p>
      <w:r>
        <w:br w:type="page"/>
      </w:r>
    </w:p>
    <w:p>
      <w:pPr>
        <w:pStyle w:val="Heading1"/>
        <w:spacing w:after="120" w:before="240"/>
      </w:pPr>
      <w:r>
        <w:t xml:space="preserve">3. Code-Review Observations (line-by-line)</w:t>
      </w:r>
    </w:p>
    <w:p>
      <w:pPr>
        <w:spacing w:after="120"/>
      </w:pPr>
      <w:r>
        <w:rPr>
          <w:sz w:val="21"/>
          <w:szCs w:val="21"/>
        </w:rPr>
        <w:t xml:space="preserve">Reviewed against the branch diff (git diff main...HEAD). Files: backend/utils/route_reconstruction.py, route_distance.py, route_finalizer.py, migrations/245_backfill_failed_route_reconstruction.sql, shared/services/firebase.ts, rider-app (index / settings / privacy-settings), driver-app/notifications.tsx. Severity: P1 = fix before merge, P2 = fix soon, P3 = polish.</w:t>
      </w:r>
    </w:p>
    <w:tbl>
      <w:tblPr>
        <w:tblW w:type="dxa" w:w="9300"/>
        <w:tblBorders>
          <w:top w:val="single" w:color="D1D5DB" w:sz="2"/>
          <w:left w:val="single" w:color="D1D5DB" w:sz="2"/>
          <w:bottom w:val="single" w:color="D1D5DB" w:sz="2"/>
          <w:right w:val="single" w:color="D1D5DB" w:sz="2"/>
          <w:insideH w:val="single" w:color="E5E7EB" w:sz="1"/>
          <w:insideV w:val="single" w:color="E5E7EB" w:sz="1"/>
        </w:tblBorders>
      </w:tblPr>
      <w:tblGrid>
        <w:gridCol w:w="720"/>
        <w:gridCol w:w="3300"/>
        <w:gridCol w:w="900"/>
        <w:gridCol w:w="4380"/>
      </w:tblGrid>
      <w:tr>
        <w:trPr>
          <w:tblHeader/>
        </w:trPr>
        <w:tc>
          <w:tcPr>
            <w:tcW w:type="dxa" w:w="720"/>
            <w:shd w:fill="1F2A44" w:color="auto" w:val="clear"/>
            <w:tcMar>
              <w:top w:type="dxa" w:w="60"/>
              <w:left w:type="dxa" w:w="90"/>
              <w:bottom w:type="dxa" w:w="60"/>
              <w:right w:type="dxa" w:w="90"/>
            </w:tcMar>
          </w:tcPr>
          <w:p>
            <w:pPr>
              <w:spacing w:after="20"/>
            </w:pPr>
            <w:r>
              <w:rPr>
                <w:b/>
                <w:bCs/>
                <w:color w:val="FFFFFF"/>
                <w:sz w:val="19"/>
                <w:szCs w:val="19"/>
              </w:rPr>
              <w:t xml:space="preserve">ID</w:t>
            </w:r>
          </w:p>
        </w:tc>
        <w:tc>
          <w:tcPr>
            <w:tcW w:type="dxa" w:w="3300"/>
            <w:shd w:fill="1F2A44" w:color="auto" w:val="clear"/>
            <w:tcMar>
              <w:top w:type="dxa" w:w="60"/>
              <w:left w:type="dxa" w:w="90"/>
              <w:bottom w:type="dxa" w:w="60"/>
              <w:right w:type="dxa" w:w="90"/>
            </w:tcMar>
          </w:tcPr>
          <w:p>
            <w:pPr>
              <w:spacing w:after="20"/>
            </w:pPr>
            <w:r>
              <w:rPr>
                <w:b/>
                <w:bCs/>
                <w:color w:val="FFFFFF"/>
                <w:sz w:val="19"/>
                <w:szCs w:val="19"/>
              </w:rPr>
              <w:t xml:space="preserve">File : line — issue</w:t>
            </w:r>
          </w:p>
        </w:tc>
        <w:tc>
          <w:tcPr>
            <w:tcW w:type="dxa" w:w="900"/>
            <w:shd w:fill="1F2A44" w:color="auto" w:val="clear"/>
            <w:tcMar>
              <w:top w:type="dxa" w:w="60"/>
              <w:left w:type="dxa" w:w="90"/>
              <w:bottom w:type="dxa" w:w="60"/>
              <w:right w:type="dxa" w:w="90"/>
            </w:tcMar>
          </w:tcPr>
          <w:p>
            <w:pPr>
              <w:spacing w:after="20"/>
            </w:pPr>
            <w:r>
              <w:rPr>
                <w:b/>
                <w:bCs/>
                <w:color w:val="FFFFFF"/>
                <w:sz w:val="19"/>
                <w:szCs w:val="19"/>
              </w:rPr>
              <w:t xml:space="preserve">Sev</w:t>
            </w:r>
          </w:p>
        </w:tc>
        <w:tc>
          <w:tcPr>
            <w:tcW w:type="dxa" w:w="4380"/>
            <w:shd w:fill="1F2A44" w:color="auto" w:val="clear"/>
            <w:tcMar>
              <w:top w:type="dxa" w:w="60"/>
              <w:left w:type="dxa" w:w="90"/>
              <w:bottom w:type="dxa" w:w="60"/>
              <w:right w:type="dxa" w:w="90"/>
            </w:tcMar>
          </w:tcPr>
          <w:p>
            <w:pPr>
              <w:spacing w:after="20"/>
            </w:pPr>
            <w:r>
              <w:rPr>
                <w:b/>
                <w:bCs/>
                <w:color w:val="FFFFFF"/>
                <w:sz w:val="19"/>
                <w:szCs w:val="19"/>
              </w:rPr>
              <w:t xml:space="preserve">Recommendation</w:t>
            </w:r>
          </w:p>
        </w:tc>
      </w:tr>
      <w:tr>
        <w:tc>
          <w:tcPr>
            <w:tcW w:type="dxa" w:w="720"/>
            <w:tcMar>
              <w:top w:type="dxa" w:w="60"/>
              <w:left w:type="dxa" w:w="90"/>
              <w:bottom w:type="dxa" w:w="60"/>
              <w:right w:type="dxa" w:w="90"/>
            </w:tcMar>
          </w:tcPr>
          <w:p>
            <w:pPr>
              <w:spacing w:after="20"/>
            </w:pPr>
            <w:r>
              <w:rPr>
                <w:b/>
                <w:bCs/>
                <w:sz w:val="19"/>
                <w:szCs w:val="19"/>
              </w:rPr>
              <w:t xml:space="preserve">R1</w:t>
            </w:r>
          </w:p>
        </w:tc>
        <w:tc>
          <w:tcPr>
            <w:tcW w:type="dxa" w:w="3300"/>
            <w:tcMar>
              <w:top w:type="dxa" w:w="60"/>
              <w:left w:type="dxa" w:w="90"/>
              <w:bottom w:type="dxa" w:w="60"/>
              <w:right w:type="dxa" w:w="90"/>
            </w:tcMar>
          </w:tcPr>
          <w:p>
            <w:pPr>
              <w:spacing w:after="20"/>
            </w:pPr>
            <w:r>
              <w:rPr>
                <w:sz w:val="19"/>
                <w:szCs w:val="19"/>
              </w:rPr>
              <w:t xml:space="preserve">route_reconstruction.py : 65-92 — _resolve_anchor. The docstring promises an adaptive tolerance (snap -&gt; raw-within-200 m -&gt; raw), but the code returns raw_point unconditionally whenever the snap is missing. CONTINUITY_TOLERANCE_RELAXED_M (200 m) is never referenced and nearest_gps is inspected only for None. The old 30 m guard that dropped a wildly-wrong endpoint is gone.</w:t>
            </w:r>
          </w:p>
        </w:tc>
        <w:tc>
          <w:tcPr>
            <w:tcW w:type="dxa" w:w="900"/>
            <w:shd w:fill="FDE8E8" w:color="auto" w:val="clear"/>
            <w:tcMar>
              <w:top w:type="dxa" w:w="60"/>
              <w:left w:type="dxa" w:w="90"/>
              <w:bottom w:type="dxa" w:w="60"/>
              <w:right w:type="dxa" w:w="90"/>
            </w:tcMar>
          </w:tcPr>
          <w:p>
            <w:pPr>
              <w:spacing w:after="20"/>
              <w:jc w:val="center"/>
            </w:pPr>
            <w:r>
              <w:rPr>
                <w:b/>
                <w:bCs/>
                <w:sz w:val="19"/>
                <w:szCs w:val="19"/>
              </w:rPr>
              <w:t xml:space="preserve">P1</w:t>
            </w:r>
          </w:p>
        </w:tc>
        <w:tc>
          <w:tcPr>
            <w:tcW w:type="dxa" w:w="4380"/>
            <w:tcMar>
              <w:top w:type="dxa" w:w="60"/>
              <w:left w:type="dxa" w:w="90"/>
              <w:bottom w:type="dxa" w:w="60"/>
              <w:right w:type="dxa" w:w="90"/>
            </w:tcMar>
          </w:tcPr>
          <w:p>
            <w:pPr>
              <w:spacing w:after="20"/>
            </w:pPr>
            <w:r>
              <w:rPr>
                <w:sz w:val="19"/>
                <w:szCs w:val="19"/>
              </w:rPr>
              <w:t xml:space="preserve">Actually implement the tiers: accept raw_point only if distance_m(raw_point, nearest_gps) &lt;= CONTINUITY_TOLERANCE_RELAXED_M; otherwise fall back to nearest_gps (or return None and let it be a recorded gap). Delete the constant/param if the design truly is "accept anything," and fix the docstring — right now code and docs disagree.</w:t>
            </w:r>
          </w:p>
        </w:tc>
      </w:tr>
      <w:tr>
        <w:tc>
          <w:tcPr>
            <w:tcW w:type="dxa" w:w="720"/>
            <w:tcMar>
              <w:top w:type="dxa" w:w="60"/>
              <w:left w:type="dxa" w:w="90"/>
              <w:bottom w:type="dxa" w:w="60"/>
              <w:right w:type="dxa" w:w="90"/>
            </w:tcMar>
          </w:tcPr>
          <w:p>
            <w:pPr>
              <w:spacing w:after="20"/>
            </w:pPr>
            <w:r>
              <w:rPr>
                <w:b/>
                <w:bCs/>
                <w:sz w:val="19"/>
                <w:szCs w:val="19"/>
              </w:rPr>
              <w:t xml:space="preserve">R2</w:t>
            </w:r>
          </w:p>
        </w:tc>
        <w:tc>
          <w:tcPr>
            <w:tcW w:type="dxa" w:w="3300"/>
            <w:tcMar>
              <w:top w:type="dxa" w:w="60"/>
              <w:left w:type="dxa" w:w="90"/>
              <w:bottom w:type="dxa" w:w="60"/>
              <w:right w:type="dxa" w:w="90"/>
            </w:tcMar>
          </w:tcPr>
          <w:p>
            <w:pPr>
              <w:spacing w:after="20"/>
            </w:pPr>
            <w:r>
              <w:rPr>
                <w:sz w:val="19"/>
                <w:szCs w:val="19"/>
              </w:rPr>
              <w:t xml:space="preserve">route_reconstruction.py : 148-188 — append_connector haversine fall-through. Tier 1 (OSRM) and Tier 2 (Google) both gate on a sanity bound (reject if distance_km &gt; max(direct*5, direct+2)). The Tier 3/4 haversine branch has NO cap: it adds gap_distance/1000 to inferred_distance_km and draws a straight line of any length. Combined with R1, a stale/garbage endpoint produces a multi-kilometre straight segment on the map and in the audited distance, with only an info log.</w:t>
            </w:r>
          </w:p>
        </w:tc>
        <w:tc>
          <w:tcPr>
            <w:tcW w:type="dxa" w:w="900"/>
            <w:shd w:fill="FDE8E8" w:color="auto" w:val="clear"/>
            <w:tcMar>
              <w:top w:type="dxa" w:w="60"/>
              <w:left w:type="dxa" w:w="90"/>
              <w:bottom w:type="dxa" w:w="60"/>
              <w:right w:type="dxa" w:w="90"/>
            </w:tcMar>
          </w:tcPr>
          <w:p>
            <w:pPr>
              <w:spacing w:after="20"/>
              <w:jc w:val="center"/>
            </w:pPr>
            <w:r>
              <w:rPr>
                <w:b/>
                <w:bCs/>
                <w:sz w:val="19"/>
                <w:szCs w:val="19"/>
              </w:rPr>
              <w:t xml:space="preserve">P1</w:t>
            </w:r>
          </w:p>
        </w:tc>
        <w:tc>
          <w:tcPr>
            <w:tcW w:type="dxa" w:w="4380"/>
            <w:tcMar>
              <w:top w:type="dxa" w:w="60"/>
              <w:left w:type="dxa" w:w="90"/>
              <w:bottom w:type="dxa" w:w="60"/>
              <w:right w:type="dxa" w:w="90"/>
            </w:tcMar>
          </w:tcPr>
          <w:p>
            <w:pPr>
              <w:spacing w:after="20"/>
            </w:pPr>
            <w:r>
              <w:rPr>
                <w:sz w:val="19"/>
                <w:szCs w:val="19"/>
              </w:rPr>
              <w:t xml:space="preserve">Cap the haversine segment (e.g. skip or mark "failed" when gap_distance exceeds a sane threshold), and downgrade from silent success to a recorded reason. CLAUDE.md: "Never replace a failing call with a generic fallback path that hides the symptom." A silent haversine line over a bad endpoint is exactly that.</w:t>
            </w:r>
          </w:p>
        </w:tc>
      </w:tr>
      <w:tr>
        <w:tc>
          <w:tcPr>
            <w:tcW w:type="dxa" w:w="720"/>
            <w:tcMar>
              <w:top w:type="dxa" w:w="60"/>
              <w:left w:type="dxa" w:w="90"/>
              <w:bottom w:type="dxa" w:w="60"/>
              <w:right w:type="dxa" w:w="90"/>
            </w:tcMar>
          </w:tcPr>
          <w:p>
            <w:pPr>
              <w:spacing w:after="20"/>
            </w:pPr>
            <w:r>
              <w:rPr>
                <w:b/>
                <w:bCs/>
                <w:sz w:val="19"/>
                <w:szCs w:val="19"/>
              </w:rPr>
              <w:t xml:space="preserve">R3</w:t>
            </w:r>
          </w:p>
        </w:tc>
        <w:tc>
          <w:tcPr>
            <w:tcW w:type="dxa" w:w="3300"/>
            <w:tcMar>
              <w:top w:type="dxa" w:w="60"/>
              <w:left w:type="dxa" w:w="90"/>
              <w:bottom w:type="dxa" w:w="60"/>
              <w:right w:type="dxa" w:w="90"/>
            </w:tcMar>
          </w:tcPr>
          <w:p>
            <w:pPr>
              <w:spacing w:after="20"/>
            </w:pPr>
            <w:r>
              <w:rPr>
                <w:sz w:val="19"/>
                <w:szCs w:val="19"/>
              </w:rPr>
              <w:t xml:space="preserve">firebase.ts : checkNotificationPermission (messaging branch) — maps FCM authStatus === 0 to status "undetermined". In RN-Firebase AuthorizationStatus, 0 = DENIED and -1 = NOT_DETERMINED. A hard denial is reported as "undetermined" while canAskAgain (computed from -1) is false — a contradictory result. Callers keying on status may re-prompt a user who can no longer be prompted.</w:t>
            </w:r>
          </w:p>
        </w:tc>
        <w:tc>
          <w:tcPr>
            <w:tcW w:type="dxa" w:w="900"/>
            <w:shd w:fill="FEF3C7" w:color="auto" w:val="clear"/>
            <w:tcMar>
              <w:top w:type="dxa" w:w="60"/>
              <w:left w:type="dxa" w:w="90"/>
              <w:bottom w:type="dxa" w:w="60"/>
              <w:right w:type="dxa" w:w="90"/>
            </w:tcMar>
          </w:tcPr>
          <w:p>
            <w:pPr>
              <w:spacing w:after="20"/>
              <w:jc w:val="center"/>
            </w:pPr>
            <w:r>
              <w:rPr>
                <w:b/>
                <w:bCs/>
                <w:sz w:val="19"/>
                <w:szCs w:val="19"/>
              </w:rPr>
              <w:t xml:space="preserve">P2</w:t>
            </w:r>
          </w:p>
        </w:tc>
        <w:tc>
          <w:tcPr>
            <w:tcW w:type="dxa" w:w="4380"/>
            <w:tcMar>
              <w:top w:type="dxa" w:w="60"/>
              <w:left w:type="dxa" w:w="90"/>
              <w:bottom w:type="dxa" w:w="60"/>
              <w:right w:type="dxa" w:w="90"/>
            </w:tcMar>
          </w:tcPr>
          <w:p>
            <w:pPr>
              <w:spacing w:after="20"/>
            </w:pPr>
            <w:r>
              <w:rPr>
                <w:sz w:val="19"/>
                <w:szCs w:val="19"/>
              </w:rPr>
              <w:t xml:space="preserve">Map 0 -&gt; "denied", -1 -&gt; "undetermined". Better: pick one source of truth (see R4) instead of hand-rolling the enum mapping in two places.</w:t>
            </w:r>
          </w:p>
        </w:tc>
      </w:tr>
      <w:tr>
        <w:tc>
          <w:tcPr>
            <w:tcW w:type="dxa" w:w="720"/>
            <w:tcMar>
              <w:top w:type="dxa" w:w="60"/>
              <w:left w:type="dxa" w:w="90"/>
              <w:bottom w:type="dxa" w:w="60"/>
              <w:right w:type="dxa" w:w="90"/>
            </w:tcMar>
          </w:tcPr>
          <w:p>
            <w:pPr>
              <w:spacing w:after="20"/>
            </w:pPr>
            <w:r>
              <w:rPr>
                <w:b/>
                <w:bCs/>
                <w:sz w:val="19"/>
                <w:szCs w:val="19"/>
              </w:rPr>
              <w:t xml:space="preserve">R4</w:t>
            </w:r>
          </w:p>
        </w:tc>
        <w:tc>
          <w:tcPr>
            <w:tcW w:type="dxa" w:w="3300"/>
            <w:tcMar>
              <w:top w:type="dxa" w:w="60"/>
              <w:left w:type="dxa" w:w="90"/>
              <w:bottom w:type="dxa" w:w="60"/>
              <w:right w:type="dxa" w:w="90"/>
            </w:tcMar>
          </w:tcPr>
          <w:p>
            <w:pPr>
              <w:spacing w:after="20"/>
            </w:pPr>
            <w:r>
              <w:rPr>
                <w:sz w:val="19"/>
                <w:szCs w:val="19"/>
              </w:rPr>
              <w:t xml:space="preserve">firebase.ts : requestNotificationPermission — AND-combines four independent permission systems (Android POST_NOTIFICATIONS, FCM, Expo, Notifee) into one boolean. Any single module returning non-granted (e.g. Expo "undetermined" != "granted", or a Notifee quirk) flips the aggregate to false even when notifications actually work — so the rider Home banner "Turn on notifications" is shown to users who already have them on. It can also surface up to four OS dialogs in sequence.</w:t>
            </w:r>
          </w:p>
        </w:tc>
        <w:tc>
          <w:tcPr>
            <w:tcW w:type="dxa" w:w="900"/>
            <w:shd w:fill="FEF3C7" w:color="auto" w:val="clear"/>
            <w:tcMar>
              <w:top w:type="dxa" w:w="60"/>
              <w:left w:type="dxa" w:w="90"/>
              <w:bottom w:type="dxa" w:w="60"/>
              <w:right w:type="dxa" w:w="90"/>
            </w:tcMar>
          </w:tcPr>
          <w:p>
            <w:pPr>
              <w:spacing w:after="20"/>
              <w:jc w:val="center"/>
            </w:pPr>
            <w:r>
              <w:rPr>
                <w:b/>
                <w:bCs/>
                <w:sz w:val="19"/>
                <w:szCs w:val="19"/>
              </w:rPr>
              <w:t xml:space="preserve">P2</w:t>
            </w:r>
          </w:p>
        </w:tc>
        <w:tc>
          <w:tcPr>
            <w:tcW w:type="dxa" w:w="4380"/>
            <w:tcMar>
              <w:top w:type="dxa" w:w="60"/>
              <w:left w:type="dxa" w:w="90"/>
              <w:bottom w:type="dxa" w:w="60"/>
              <w:right w:type="dxa" w:w="90"/>
            </w:tcMar>
          </w:tcPr>
          <w:p>
            <w:pPr>
              <w:spacing w:after="20"/>
            </w:pPr>
            <w:r>
              <w:rPr>
                <w:sz w:val="19"/>
                <w:szCs w:val="19"/>
              </w:rPr>
              <w:t xml:space="preserve">Choose one canonical permission API for the Expo runtime (Expo Notifications) and treat the others as best-effort side calls that never veto the result. This is an altitude fix: one source of truth beats four bandaids ORed together.</w:t>
            </w:r>
          </w:p>
        </w:tc>
      </w:tr>
      <w:tr>
        <w:tc>
          <w:tcPr>
            <w:tcW w:type="dxa" w:w="720"/>
            <w:tcMar>
              <w:top w:type="dxa" w:w="60"/>
              <w:left w:type="dxa" w:w="90"/>
              <w:bottom w:type="dxa" w:w="60"/>
              <w:right w:type="dxa" w:w="90"/>
            </w:tcMar>
          </w:tcPr>
          <w:p>
            <w:pPr>
              <w:spacing w:after="20"/>
            </w:pPr>
            <w:r>
              <w:rPr>
                <w:b/>
                <w:bCs/>
                <w:sz w:val="19"/>
                <w:szCs w:val="19"/>
              </w:rPr>
              <w:t xml:space="preserve">R5</w:t>
            </w:r>
          </w:p>
        </w:tc>
        <w:tc>
          <w:tcPr>
            <w:tcW w:type="dxa" w:w="3300"/>
            <w:tcMar>
              <w:top w:type="dxa" w:w="60"/>
              <w:left w:type="dxa" w:w="90"/>
              <w:bottom w:type="dxa" w:w="60"/>
              <w:right w:type="dxa" w:w="90"/>
            </w:tcMar>
          </w:tcPr>
          <w:p>
            <w:pPr>
              <w:spacing w:after="20"/>
            </w:pPr>
            <w:r>
              <w:rPr>
                <w:sz w:val="19"/>
                <w:szCs w:val="19"/>
              </w:rPr>
              <w:t xml:space="preserve">migrations/245 — requeues rides with reconstruction_status="failed" AND processing_status IN ("incomplete","complete"), resetting finalized_at = NULL and status = pending. For the "complete" rows this recomputes and overwrites already-finalized route geometry and bumps route_revision on historical completed rides — the same geometry SK regulation asks us to retain (3 yr GPS trace, 7 yr trip linkage).</w:t>
            </w:r>
          </w:p>
        </w:tc>
        <w:tc>
          <w:tcPr>
            <w:tcW w:type="dxa" w:w="900"/>
            <w:shd w:fill="FEF3C7" w:color="auto" w:val="clear"/>
            <w:tcMar>
              <w:top w:type="dxa" w:w="60"/>
              <w:left w:type="dxa" w:w="90"/>
              <w:bottom w:type="dxa" w:w="60"/>
              <w:right w:type="dxa" w:w="90"/>
            </w:tcMar>
          </w:tcPr>
          <w:p>
            <w:pPr>
              <w:spacing w:after="20"/>
              <w:jc w:val="center"/>
            </w:pPr>
            <w:r>
              <w:rPr>
                <w:b/>
                <w:bCs/>
                <w:sz w:val="19"/>
                <w:szCs w:val="19"/>
              </w:rPr>
              <w:t xml:space="preserve">P2</w:t>
            </w:r>
          </w:p>
        </w:tc>
        <w:tc>
          <w:tcPr>
            <w:tcW w:type="dxa" w:w="4380"/>
            <w:tcMar>
              <w:top w:type="dxa" w:w="60"/>
              <w:left w:type="dxa" w:w="90"/>
              <w:bottom w:type="dxa" w:w="60"/>
              <w:right w:type="dxa" w:w="90"/>
            </w:tcMar>
          </w:tcPr>
          <w:p>
            <w:pPr>
              <w:spacing w:after="20"/>
            </w:pPr>
            <w:r>
              <w:rPr>
                <w:sz w:val="19"/>
                <w:szCs w:val="19"/>
              </w:rPr>
              <w:t xml:space="preserve">Confirm with the regulatory owner that recomputing display/audit geometry for completed rides is acceptable, and that finalize_route() genuinely never touches fare/distance columns used for the receipt. The migration comment asserts this; add a test that locks it in. Otherwise scope the requeue to non-completed rides.</w:t>
            </w:r>
          </w:p>
        </w:tc>
      </w:tr>
      <w:tr>
        <w:tc>
          <w:tcPr>
            <w:tcW w:type="dxa" w:w="720"/>
            <w:tcMar>
              <w:top w:type="dxa" w:w="60"/>
              <w:left w:type="dxa" w:w="90"/>
              <w:bottom w:type="dxa" w:w="60"/>
              <w:right w:type="dxa" w:w="90"/>
            </w:tcMar>
          </w:tcPr>
          <w:p>
            <w:pPr>
              <w:spacing w:after="20"/>
            </w:pPr>
            <w:r>
              <w:rPr>
                <w:b/>
                <w:bCs/>
                <w:sz w:val="19"/>
                <w:szCs w:val="19"/>
              </w:rPr>
              <w:t xml:space="preserve">R6</w:t>
            </w:r>
          </w:p>
        </w:tc>
        <w:tc>
          <w:tcPr>
            <w:tcW w:type="dxa" w:w="3300"/>
            <w:tcMar>
              <w:top w:type="dxa" w:w="60"/>
              <w:left w:type="dxa" w:w="90"/>
              <w:bottom w:type="dxa" w:w="60"/>
              <w:right w:type="dxa" w:w="90"/>
            </w:tcMar>
          </w:tcPr>
          <w:p>
            <w:pPr>
              <w:spacing w:after="20"/>
            </w:pPr>
            <w:r>
              <w:rPr>
                <w:sz w:val="19"/>
                <w:szCs w:val="19"/>
              </w:rPr>
              <w:t xml:space="preserve">firebase.ts : checkNotificationPermission (Android 13+ fast path) — when PermissionsAndroid.check(POST_NOTIFICATIONS) is false it returns canAskAgain: true hard-coded. A user who chose "Don't ask again" is reported as re-askable, so Enable calls request() which no-ops (settings is opened as a cushion, so impact is limited).</w:t>
            </w:r>
          </w:p>
        </w:tc>
        <w:tc>
          <w:tcPr>
            <w:tcW w:type="dxa" w:w="900"/>
            <w:shd w:fill="DCFCE7" w:color="auto" w:val="clear"/>
            <w:tcMar>
              <w:top w:type="dxa" w:w="60"/>
              <w:left w:type="dxa" w:w="90"/>
              <w:bottom w:type="dxa" w:w="60"/>
              <w:right w:type="dxa" w:w="90"/>
            </w:tcMar>
          </w:tcPr>
          <w:p>
            <w:pPr>
              <w:spacing w:after="20"/>
              <w:jc w:val="center"/>
            </w:pPr>
            <w:r>
              <w:rPr>
                <w:b/>
                <w:bCs/>
                <w:sz w:val="19"/>
                <w:szCs w:val="19"/>
              </w:rPr>
              <w:t xml:space="preserve">P3</w:t>
            </w:r>
          </w:p>
        </w:tc>
        <w:tc>
          <w:tcPr>
            <w:tcW w:type="dxa" w:w="4380"/>
            <w:tcMar>
              <w:top w:type="dxa" w:w="60"/>
              <w:left w:type="dxa" w:w="90"/>
              <w:bottom w:type="dxa" w:w="60"/>
              <w:right w:type="dxa" w:w="90"/>
            </w:tcMar>
          </w:tcPr>
          <w:p>
            <w:pPr>
              <w:spacing w:after="20"/>
            </w:pPr>
            <w:r>
              <w:rPr>
                <w:sz w:val="19"/>
                <w:szCs w:val="19"/>
              </w:rPr>
              <w:t xml:space="preserve">Derive canAskAgain from PermissionsAndroid.shouldShowRequestPermissionRationale / the Expo canAskAgain field rather than hard-coding true.</w:t>
            </w:r>
          </w:p>
        </w:tc>
      </w:tr>
      <w:tr>
        <w:tc>
          <w:tcPr>
            <w:tcW w:type="dxa" w:w="720"/>
            <w:tcMar>
              <w:top w:type="dxa" w:w="60"/>
              <w:left w:type="dxa" w:w="90"/>
              <w:bottom w:type="dxa" w:w="60"/>
              <w:right w:type="dxa" w:w="90"/>
            </w:tcMar>
          </w:tcPr>
          <w:p>
            <w:pPr>
              <w:spacing w:after="20"/>
            </w:pPr>
            <w:r>
              <w:rPr>
                <w:b/>
                <w:bCs/>
                <w:sz w:val="19"/>
                <w:szCs w:val="19"/>
              </w:rPr>
              <w:t xml:space="preserve">R7</w:t>
            </w:r>
          </w:p>
        </w:tc>
        <w:tc>
          <w:tcPr>
            <w:tcW w:type="dxa" w:w="3300"/>
            <w:tcMar>
              <w:top w:type="dxa" w:w="60"/>
              <w:left w:type="dxa" w:w="90"/>
              <w:bottom w:type="dxa" w:w="60"/>
              <w:right w:type="dxa" w:w="90"/>
            </w:tcMar>
          </w:tcPr>
          <w:p>
            <w:pPr>
              <w:spacing w:after="20"/>
            </w:pPr>
            <w:r>
              <w:rPr>
                <w:sz w:val="19"/>
                <w:szCs w:val="19"/>
              </w:rPr>
              <w:t xml:space="preserve">rider-app/(tabs)/index.tsx : dismissedNotifBanner is component state only. The file already imports AsyncStorage (spinr_last_location). A user who dismisses the banner sees it again on every remount / app relaunch.</w:t>
            </w:r>
          </w:p>
        </w:tc>
        <w:tc>
          <w:tcPr>
            <w:tcW w:type="dxa" w:w="900"/>
            <w:shd w:fill="DCFCE7" w:color="auto" w:val="clear"/>
            <w:tcMar>
              <w:top w:type="dxa" w:w="60"/>
              <w:left w:type="dxa" w:w="90"/>
              <w:bottom w:type="dxa" w:w="60"/>
              <w:right w:type="dxa" w:w="90"/>
            </w:tcMar>
          </w:tcPr>
          <w:p>
            <w:pPr>
              <w:spacing w:after="20"/>
              <w:jc w:val="center"/>
            </w:pPr>
            <w:r>
              <w:rPr>
                <w:b/>
                <w:bCs/>
                <w:sz w:val="19"/>
                <w:szCs w:val="19"/>
              </w:rPr>
              <w:t xml:space="preserve">P3</w:t>
            </w:r>
          </w:p>
        </w:tc>
        <w:tc>
          <w:tcPr>
            <w:tcW w:type="dxa" w:w="4380"/>
            <w:tcMar>
              <w:top w:type="dxa" w:w="60"/>
              <w:left w:type="dxa" w:w="90"/>
              <w:bottom w:type="dxa" w:w="60"/>
              <w:right w:type="dxa" w:w="90"/>
            </w:tcMar>
          </w:tcPr>
          <w:p>
            <w:pPr>
              <w:spacing w:after="20"/>
            </w:pPr>
            <w:r>
              <w:rPr>
                <w:sz w:val="19"/>
                <w:szCs w:val="19"/>
              </w:rPr>
              <w:t xml:space="preserve">Persist the dismissal (AsyncStorage key), ideally with a re-show interval so it can nudge again after N days without nagging every launch.</w:t>
            </w:r>
          </w:p>
        </w:tc>
      </w:tr>
      <w:tr>
        <w:tc>
          <w:tcPr>
            <w:tcW w:type="dxa" w:w="720"/>
            <w:tcMar>
              <w:top w:type="dxa" w:w="60"/>
              <w:left w:type="dxa" w:w="90"/>
              <w:bottom w:type="dxa" w:w="60"/>
              <w:right w:type="dxa" w:w="90"/>
            </w:tcMar>
          </w:tcPr>
          <w:p>
            <w:pPr>
              <w:spacing w:after="20"/>
            </w:pPr>
            <w:r>
              <w:rPr>
                <w:b/>
                <w:bCs/>
                <w:sz w:val="19"/>
                <w:szCs w:val="19"/>
              </w:rPr>
              <w:t xml:space="preserve">R8</w:t>
            </w:r>
          </w:p>
        </w:tc>
        <w:tc>
          <w:tcPr>
            <w:tcW w:type="dxa" w:w="3300"/>
            <w:tcMar>
              <w:top w:type="dxa" w:w="60"/>
              <w:left w:type="dxa" w:w="90"/>
              <w:bottom w:type="dxa" w:w="60"/>
              <w:right w:type="dxa" w:w="90"/>
            </w:tcMar>
          </w:tcPr>
          <w:p>
            <w:pPr>
              <w:spacing w:after="20"/>
            </w:pPr>
            <w:r>
              <w:rPr>
                <w:sz w:val="19"/>
                <w:szCs w:val="19"/>
              </w:rPr>
              <w:t xml:space="preserve">driver-app/driver/notifications.tsx — removes getItemLayout + removeClippedSubviews (the fix for blank Android rows). Correct fix given variable row heights, but it silently drops the scroll-to-index perf optimisation.</w:t>
            </w:r>
          </w:p>
        </w:tc>
        <w:tc>
          <w:tcPr>
            <w:tcW w:type="dxa" w:w="900"/>
            <w:shd w:fill="DCFCE7" w:color="auto" w:val="clear"/>
            <w:tcMar>
              <w:top w:type="dxa" w:w="60"/>
              <w:left w:type="dxa" w:w="90"/>
              <w:bottom w:type="dxa" w:w="60"/>
              <w:right w:type="dxa" w:w="90"/>
            </w:tcMar>
          </w:tcPr>
          <w:p>
            <w:pPr>
              <w:spacing w:after="20"/>
              <w:jc w:val="center"/>
            </w:pPr>
            <w:r>
              <w:rPr>
                <w:b/>
                <w:bCs/>
                <w:sz w:val="19"/>
                <w:szCs w:val="19"/>
              </w:rPr>
              <w:t xml:space="preserve">P3</w:t>
            </w:r>
          </w:p>
        </w:tc>
        <w:tc>
          <w:tcPr>
            <w:tcW w:type="dxa" w:w="4380"/>
            <w:tcMar>
              <w:top w:type="dxa" w:w="60"/>
              <w:left w:type="dxa" w:w="90"/>
              <w:bottom w:type="dxa" w:w="60"/>
              <w:right w:type="dxa" w:w="90"/>
            </w:tcMar>
          </w:tcPr>
          <w:p>
            <w:pPr>
              <w:spacing w:after="20"/>
            </w:pPr>
            <w:r>
              <w:rPr>
                <w:sz w:val="19"/>
                <w:szCs w:val="19"/>
              </w:rPr>
              <w:t xml:space="preserve">No change required — flagged for awareness. If rows are ever made fixed-height again, getItemLayout can return. The added __tests__/screens/notifications.test.tsx covers the render regression.</w:t>
            </w:r>
          </w:p>
        </w:tc>
      </w:tr>
    </w:tbl>
    <w:p>
      <w:pPr>
        <w:spacing w:after="120"/>
      </w:pPr>
      <w:r>
        <w:rPr>
          <w:i/>
          <w:iCs/>
          <w:color w:val="6B7280"/>
          <w:sz w:val="21"/>
          <w:szCs w:val="21"/>
        </w:rPr>
        <w:t xml:space="preserve">Positive notes: Tier 2 Google fallback correctly reuses the existing _compute_route_via_google helper and reads google_maps_api_key from app_settings (per the "Settings in DB" convention rather than .env). The Android POST_NOTIFICATIONS fix in requestPushPermissionAndGetToken addresses a genuine RN-Firebase footgun (messaging.requestPermission is an Android no-op). New tests were added for all three notification paths.</w:t>
      </w:r>
    </w:p>
    <w:p>
      <w:r>
        <w:br w:type="page"/>
      </w:r>
    </w:p>
    <w:p>
      <w:pPr>
        <w:pStyle w:val="Heading1"/>
        <w:spacing w:after="120" w:before="240"/>
      </w:pPr>
      <w:r>
        <w:t xml:space="preserve">4. Prioritized Action List</w:t>
      </w:r>
    </w:p>
    <w:p>
      <w:pPr>
        <w:pStyle w:val="Heading2"/>
        <w:spacing w:after="120" w:before="240"/>
      </w:pPr>
      <w:r>
        <w:t xml:space="preserve">Before merge (P1)</w:t>
      </w:r>
    </w:p>
    <w:p>
      <w:pPr>
        <w:pStyle w:val="ListParagraph"/>
        <w:numPr>
          <w:ilvl w:val="0"/>
          <w:numId w:val="2"/>
        </w:numPr>
        <w:spacing w:after="60"/>
      </w:pPr>
      <w:r>
        <w:rPr>
          <w:sz w:val="21"/>
          <w:szCs w:val="21"/>
        </w:rPr>
        <w:t xml:space="preserve">R1 — implement the real adaptive anchor tolerance (or remove the dead constant/param and correct the docstring).</w:t>
      </w:r>
    </w:p>
    <w:p>
      <w:pPr>
        <w:pStyle w:val="ListParagraph"/>
        <w:numPr>
          <w:ilvl w:val="0"/>
          <w:numId w:val="2"/>
        </w:numPr>
        <w:spacing w:after="60"/>
      </w:pPr>
      <w:r>
        <w:rPr>
          <w:sz w:val="21"/>
          <w:szCs w:val="21"/>
        </w:rPr>
        <w:t xml:space="preserve">R2 — cap / record the haversine fall-through so a bad endpoint cannot silently inflate route geometry and distance.</w:t>
      </w:r>
    </w:p>
    <w:p>
      <w:pPr>
        <w:pStyle w:val="Heading2"/>
        <w:spacing w:after="120" w:before="240"/>
      </w:pPr>
      <w:r>
        <w:t xml:space="preserve">Fix soon (P2)</w:t>
      </w:r>
    </w:p>
    <w:p>
      <w:pPr>
        <w:pStyle w:val="ListParagraph"/>
        <w:numPr>
          <w:ilvl w:val="0"/>
          <w:numId w:val="2"/>
        </w:numPr>
        <w:spacing w:after="60"/>
      </w:pPr>
      <w:r>
        <w:rPr>
          <w:sz w:val="21"/>
          <w:szCs w:val="21"/>
        </w:rPr>
        <w:t xml:space="preserve">R3 — correct the FCM DENIED (0) vs NOT_DETERMINED (-1) status mapping.</w:t>
      </w:r>
    </w:p>
    <w:p>
      <w:pPr>
        <w:pStyle w:val="ListParagraph"/>
        <w:numPr>
          <w:ilvl w:val="0"/>
          <w:numId w:val="2"/>
        </w:numPr>
        <w:spacing w:after="60"/>
      </w:pPr>
      <w:r>
        <w:rPr>
          <w:sz w:val="21"/>
          <w:szCs w:val="21"/>
        </w:rPr>
        <w:t xml:space="preserve">R4 — collapse the four-way permission AND into a single canonical source of truth.</w:t>
      </w:r>
    </w:p>
    <w:p>
      <w:pPr>
        <w:pStyle w:val="ListParagraph"/>
        <w:numPr>
          <w:ilvl w:val="0"/>
          <w:numId w:val="2"/>
        </w:numPr>
        <w:spacing w:after="60"/>
      </w:pPr>
      <w:r>
        <w:rPr>
          <w:sz w:val="21"/>
          <w:szCs w:val="21"/>
        </w:rPr>
        <w:t xml:space="preserve">R5 — get regulatory sign-off (or scope) for reprocessing completed-ride geometry in migration 245.</w:t>
      </w:r>
    </w:p>
    <w:p>
      <w:pPr>
        <w:pStyle w:val="Heading2"/>
        <w:spacing w:after="120" w:before="240"/>
      </w:pPr>
      <w:r>
        <w:t xml:space="preserve">Polish (P3)</w:t>
      </w:r>
    </w:p>
    <w:p>
      <w:pPr>
        <w:pStyle w:val="ListParagraph"/>
        <w:numPr>
          <w:ilvl w:val="0"/>
          <w:numId w:val="2"/>
        </w:numPr>
        <w:spacing w:after="60"/>
      </w:pPr>
      <w:r>
        <w:rPr>
          <w:sz w:val="21"/>
          <w:szCs w:val="21"/>
        </w:rPr>
        <w:t xml:space="preserve">R6 — derive canAskAgain instead of hard-coding it.</w:t>
      </w:r>
    </w:p>
    <w:p>
      <w:pPr>
        <w:pStyle w:val="ListParagraph"/>
        <w:numPr>
          <w:ilvl w:val="0"/>
          <w:numId w:val="2"/>
        </w:numPr>
        <w:spacing w:after="60"/>
      </w:pPr>
      <w:r>
        <w:rPr>
          <w:sz w:val="21"/>
          <w:szCs w:val="21"/>
        </w:rPr>
        <w:t xml:space="preserve">R7 — persist the notification-banner dismissal.</w:t>
      </w:r>
    </w:p>
    <w:p>
      <w:pPr>
        <w:pStyle w:val="Heading2"/>
        <w:spacing w:after="120" w:before="240"/>
      </w:pPr>
      <w:r>
        <w:t xml:space="preserve">Skills catalogue</w:t>
      </w:r>
    </w:p>
    <w:p>
      <w:pPr>
        <w:pStyle w:val="ListParagraph"/>
        <w:numPr>
          <w:ilvl w:val="0"/>
          <w:numId w:val="2"/>
        </w:numPr>
        <w:spacing w:after="60"/>
      </w:pPr>
      <w:r>
        <w:rPr>
          <w:sz w:val="21"/>
          <w:szCs w:val="21"/>
        </w:rPr>
        <w:t xml:space="preserve">Retire Tier 3 skills from this project; consolidate Tier 2 clusters; keep Tier 1.</w:t>
      </w:r>
    </w:p>
    <w:p>
      <w:pPr>
        <w:pStyle w:val="ListParagraph"/>
        <w:numPr>
          <w:ilvl w:val="0"/>
          <w:numId w:val="2"/>
        </w:numPr>
        <w:spacing w:after="60"/>
      </w:pPr>
      <w:r>
        <w:rPr>
          <w:sz w:val="21"/>
          <w:szCs w:val="21"/>
        </w:rPr>
        <w:t xml:space="preserve">Package the five Spinr-specific rule sets (money, ride-state, insurance-periods, PIPEDA-logging, migration) as auto-triggering skills that mirror the existing sub-agents.</w:t>
      </w:r>
    </w:p>
    <w:p>
      <w:pPr>
        <w:pBdr>
          <w:top w:val="single" w:color="D1D5DB" w:sz="4"/>
        </w:pBdr>
        <w:spacing w:before="300"/>
      </w:pPr>
      <w:r>
        <w:rPr>
          <w:i/>
          <w:iCs/>
          <w:color w:val="6B7280"/>
          <w:sz w:val="18"/>
          <w:szCs w:val="18"/>
        </w:rPr>
        <w:t xml:space="preserve">Prepared by automated code review of branch claude/driver-rider-app-review-knm7up. Findings are anchored to specific file:line locations in the current diff. Send over the verbal chat-session items to fold into a revision.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F2A44"/>
      <w:sz w:val="30"/>
      <w:szCs w:val="30"/>
    </w:rPr>
  </w:style>
  <w:style w:type="paragraph" w:styleId="Heading2">
    <w:name w:val="Heading 2"/>
    <w:basedOn w:val="Normal"/>
    <w:next w:val="Normal"/>
    <w:qFormat/>
    <w:pPr>
      <w:spacing w:after="100" w:before="200"/>
    </w:pPr>
    <w:rPr>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 — Skills Consolidation &amp; Code Review Recommendations</dc:title>
  <dc:creator>Spinr Review</dc:creator>
  <cp:lastModifiedBy>Un-named</cp:lastModifiedBy>
  <cp:revision>1</cp:revision>
  <dcterms:created xsi:type="dcterms:W3CDTF">2026-07-24T01:10:49.080Z</dcterms:created>
  <dcterms:modified xsi:type="dcterms:W3CDTF">2026-07-24T01:10:49.080Z</dcterms:modified>
</cp:coreProperties>
</file>

<file path=docProps/custom.xml><?xml version="1.0" encoding="utf-8"?>
<Properties xmlns="http://schemas.openxmlformats.org/officeDocument/2006/custom-properties" xmlns:vt="http://schemas.openxmlformats.org/officeDocument/2006/docPropsVTypes"/>
</file>