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24654D94" w:rsidR="003641EE" w:rsidRPr="003641EE" w:rsidRDefault="000F5ECA" w:rsidP="001D0D9A">
      <w:pPr>
        <w:spacing w:after="0" w:line="240" w:lineRule="auto"/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Noncompliance</w:t>
      </w:r>
    </w:p>
    <w:p w14:paraId="2F60638A" w14:textId="77777777" w:rsidR="009D09C0" w:rsidRDefault="009D09C0" w:rsidP="001D0D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Terms</w:t>
      </w:r>
    </w:p>
    <w:p w14:paraId="1FD76294" w14:textId="77777777" w:rsidR="009D09C0" w:rsidRDefault="009D09C0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728BF">
        <w:rPr>
          <w:rFonts w:ascii="Times New Roman" w:hAnsi="Times New Roman" w:cs="Times New Roman"/>
          <w:b/>
          <w:bCs/>
          <w:sz w:val="18"/>
          <w:szCs w:val="18"/>
        </w:rPr>
        <w:t>Noncompliance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5728BF">
        <w:rPr>
          <w:rFonts w:ascii="Times New Roman" w:hAnsi="Times New Roman" w:cs="Times New Roman"/>
          <w:sz w:val="18"/>
          <w:szCs w:val="18"/>
          <w:highlight w:val="yellow"/>
        </w:rPr>
        <w:t>sometimes units assigned to treatment do not actually receive treatment</w:t>
      </w:r>
    </w:p>
    <w:p w14:paraId="24ED7925" w14:textId="77777777" w:rsidR="009D09C0" w:rsidRDefault="009D09C0" w:rsidP="001D0D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728BF">
        <w:rPr>
          <w:rFonts w:ascii="Times New Roman" w:hAnsi="Times New Roman" w:cs="Times New Roman"/>
          <w:b/>
          <w:bCs/>
          <w:sz w:val="18"/>
          <w:szCs w:val="18"/>
        </w:rPr>
        <w:t>One-sided non-compliance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5728BF">
        <w:rPr>
          <w:rFonts w:ascii="Times New Roman" w:hAnsi="Times New Roman" w:cs="Times New Roman"/>
          <w:sz w:val="18"/>
          <w:szCs w:val="18"/>
          <w:highlight w:val="yellow"/>
        </w:rPr>
        <w:t>subjects in the treatment group do not receive the treatment</w:t>
      </w:r>
    </w:p>
    <w:p w14:paraId="454D4ED1" w14:textId="77777777" w:rsidR="009D09C0" w:rsidRDefault="009D09C0" w:rsidP="001D0D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728BF">
        <w:rPr>
          <w:rFonts w:ascii="Times New Roman" w:hAnsi="Times New Roman" w:cs="Times New Roman"/>
          <w:b/>
          <w:bCs/>
          <w:sz w:val="18"/>
          <w:szCs w:val="18"/>
        </w:rPr>
        <w:t>Two-sided noncompliance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5728BF">
        <w:rPr>
          <w:rFonts w:ascii="Times New Roman" w:hAnsi="Times New Roman" w:cs="Times New Roman"/>
          <w:sz w:val="18"/>
          <w:szCs w:val="18"/>
          <w:highlight w:val="yellow"/>
        </w:rPr>
        <w:t>some subjects in the assigned treatment group do not receive treatment and some subjects in the control group receive the treatment.</w:t>
      </w:r>
    </w:p>
    <w:p w14:paraId="52598641" w14:textId="77777777" w:rsidR="005538AC" w:rsidRDefault="009D09C0" w:rsidP="005538A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728BF">
        <w:rPr>
          <w:rFonts w:ascii="Times New Roman" w:hAnsi="Times New Roman" w:cs="Times New Roman"/>
          <w:b/>
          <w:bCs/>
          <w:sz w:val="18"/>
          <w:szCs w:val="18"/>
        </w:rPr>
        <w:t>Compliers</w:t>
      </w:r>
      <w:r w:rsidR="005538AC">
        <w:rPr>
          <w:rFonts w:ascii="Times New Roman" w:hAnsi="Times New Roman" w:cs="Times New Roman"/>
          <w:sz w:val="18"/>
          <w:szCs w:val="18"/>
        </w:rPr>
        <w:t xml:space="preserve">: </w:t>
      </w:r>
      <w:r w:rsidR="00024A86" w:rsidRPr="005728BF">
        <w:rPr>
          <w:rFonts w:ascii="Times New Roman" w:hAnsi="Times New Roman" w:cs="Times New Roman"/>
          <w:sz w:val="18"/>
          <w:szCs w:val="18"/>
          <w:highlight w:val="yellow"/>
        </w:rPr>
        <w:t>received the treatment in the treatment group; did not receive treatment and assigned to the control group</w:t>
      </w:r>
    </w:p>
    <w:p w14:paraId="006C89D8" w14:textId="1E93CE90" w:rsidR="00024A86" w:rsidRDefault="009D09C0" w:rsidP="005538A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728BF">
        <w:rPr>
          <w:rFonts w:ascii="Times New Roman" w:hAnsi="Times New Roman" w:cs="Times New Roman"/>
          <w:b/>
          <w:bCs/>
          <w:sz w:val="18"/>
          <w:szCs w:val="18"/>
        </w:rPr>
        <w:t>Never-Takers</w:t>
      </w:r>
      <w:r w:rsidR="005538AC">
        <w:rPr>
          <w:rFonts w:ascii="Times New Roman" w:hAnsi="Times New Roman" w:cs="Times New Roman"/>
          <w:sz w:val="18"/>
          <w:szCs w:val="18"/>
        </w:rPr>
        <w:t xml:space="preserve">: </w:t>
      </w:r>
      <w:r w:rsidR="00C02E0E" w:rsidRPr="001D0D9A">
        <w:rPr>
          <w:rFonts w:ascii="Times New Roman" w:hAnsi="Times New Roman" w:cs="Times New Roman"/>
          <w:sz w:val="18"/>
          <w:szCs w:val="18"/>
          <w:highlight w:val="yellow"/>
        </w:rPr>
        <w:t>never take the treatment regardless if they are in the treatment or control group</w:t>
      </w:r>
      <w:r w:rsidR="003E6A0B">
        <w:rPr>
          <w:rFonts w:ascii="Times New Roman" w:hAnsi="Times New Roman" w:cs="Times New Roman"/>
          <w:sz w:val="18"/>
          <w:szCs w:val="18"/>
        </w:rPr>
        <w:t>, but usually treatment group only</w:t>
      </w:r>
    </w:p>
    <w:p w14:paraId="45A3D505" w14:textId="7129DBC0" w:rsidR="0077461F" w:rsidRDefault="0077461F" w:rsidP="0077461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461F">
        <w:rPr>
          <w:rFonts w:ascii="Times New Roman" w:hAnsi="Times New Roman" w:cs="Times New Roman"/>
          <w:b/>
          <w:bCs/>
          <w:sz w:val="18"/>
          <w:szCs w:val="18"/>
        </w:rPr>
        <w:t>Intent-to-treat (ITT)</w:t>
      </w:r>
      <w:r>
        <w:rPr>
          <w:rFonts w:ascii="Times New Roman" w:hAnsi="Times New Roman" w:cs="Times New Roman"/>
          <w:sz w:val="18"/>
          <w:szCs w:val="18"/>
        </w:rPr>
        <w:t xml:space="preserve">: difference of the average outcomes in the group assigned to receive treatment and the group assigned to receive control. </w:t>
      </w:r>
      <m:oMath>
        <m:r>
          <w:rPr>
            <w:rFonts w:ascii="Cambria Math" w:hAnsi="Cambria Math" w:cs="Times New Roman"/>
            <w:sz w:val="18"/>
            <w:szCs w:val="18"/>
            <w:highlight w:val="yellow"/>
          </w:rPr>
          <m:t>ITT=E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Y|z=1</m:t>
            </m:r>
          </m:e>
        </m:d>
        <m:r>
          <w:rPr>
            <w:rFonts w:ascii="Cambria Math" w:hAnsi="Cambria Math" w:cs="Times New Roman"/>
            <w:sz w:val="18"/>
            <w:szCs w:val="18"/>
            <w:highlight w:val="yellow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Y|z=0</m:t>
            </m:r>
          </m:e>
        </m:d>
      </m:oMath>
      <w:r>
        <w:rPr>
          <w:rFonts w:ascii="Times New Roman" w:hAnsi="Times New Roman" w:cs="Times New Roman"/>
          <w:sz w:val="18"/>
          <w:szCs w:val="18"/>
        </w:rPr>
        <w:t>. The estimate will be diluted compared to the actual treatment effect for the people who receive treatment.</w:t>
      </w:r>
    </w:p>
    <w:p w14:paraId="4F7209AE" w14:textId="6208BFD8" w:rsidR="0077461F" w:rsidRDefault="009331C4" w:rsidP="0077461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75514">
        <w:rPr>
          <w:rFonts w:ascii="Times New Roman" w:hAnsi="Times New Roman" w:cs="Times New Roman"/>
          <w:b/>
          <w:bCs/>
          <w:sz w:val="18"/>
          <w:szCs w:val="18"/>
        </w:rPr>
        <w:t>ITT</w:t>
      </w:r>
      <w:r w:rsidRPr="00575514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D</w:t>
      </w:r>
      <w:r w:rsidR="00292395">
        <w:rPr>
          <w:rFonts w:ascii="Times New Roman" w:hAnsi="Times New Roman" w:cs="Times New Roman"/>
          <w:b/>
          <w:bCs/>
          <w:sz w:val="18"/>
          <w:szCs w:val="18"/>
        </w:rPr>
        <w:t>/take-up rate</w:t>
      </w:r>
      <w:r w:rsidR="00111E4B">
        <w:rPr>
          <w:rFonts w:ascii="Times New Roman" w:hAnsi="Times New Roman" w:cs="Times New Roman"/>
          <w:b/>
          <w:bCs/>
          <w:sz w:val="18"/>
          <w:szCs w:val="18"/>
        </w:rPr>
        <w:t>/α</w:t>
      </w:r>
      <w:r>
        <w:rPr>
          <w:rFonts w:ascii="Times New Roman" w:hAnsi="Times New Roman" w:cs="Times New Roman"/>
          <w:sz w:val="18"/>
          <w:szCs w:val="18"/>
        </w:rPr>
        <w:t xml:space="preserve"> is the effect of being assigned to treatment on receiving a dose of treatment. Because receiving a dose happens after random treatment assignment, it meets all the requirements of a causal effect.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ITT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D</m:t>
            </m:r>
          </m:sub>
        </m:sSub>
        <m:r>
          <w:rPr>
            <w:rFonts w:ascii="Cambria Math" w:hAnsi="Cambria Math" w:cs="Times New Roman"/>
            <w:sz w:val="18"/>
            <w:szCs w:val="18"/>
            <w:highlight w:val="yellow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=1</m:t>
            </m:r>
          </m:e>
        </m:d>
        <m:r>
          <w:rPr>
            <w:rFonts w:ascii="Cambria Math" w:hAnsi="Cambria Math" w:cs="Times New Roman"/>
            <w:sz w:val="18"/>
            <w:szCs w:val="18"/>
            <w:highlight w:val="yellow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  <w:highlight w:val="yellow"/>
              </w:rPr>
              <m:t>=0</m:t>
            </m:r>
          </m:e>
        </m:d>
      </m:oMath>
      <w:r w:rsidR="00575514">
        <w:rPr>
          <w:rFonts w:ascii="Times New Roman" w:hAnsi="Times New Roman" w:cs="Times New Roman"/>
          <w:sz w:val="18"/>
          <w:szCs w:val="18"/>
        </w:rPr>
        <w:t>.</w:t>
      </w:r>
    </w:p>
    <w:p w14:paraId="04B49AA3" w14:textId="39697B60" w:rsidR="00111E4B" w:rsidRPr="00111E4B" w:rsidRDefault="00111E4B" w:rsidP="00111E4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11E4B">
        <w:rPr>
          <w:rFonts w:ascii="Times New Roman" w:hAnsi="Times New Roman" w:cs="Times New Roman"/>
          <w:sz w:val="18"/>
          <w:szCs w:val="18"/>
        </w:rPr>
        <w:t xml:space="preserve">There </w:t>
      </w:r>
      <w:r>
        <w:rPr>
          <w:rFonts w:ascii="Times New Roman" w:hAnsi="Times New Roman" w:cs="Times New Roman"/>
          <w:sz w:val="18"/>
          <w:szCs w:val="18"/>
        </w:rPr>
        <w:t>is some bias in the take-up rate because it is a statistic with random variation. Thus, CACE will also have some uncertainty.</w:t>
      </w:r>
      <w:r w:rsidR="00A2273F">
        <w:rPr>
          <w:rFonts w:ascii="Times New Roman" w:hAnsi="Times New Roman" w:cs="Times New Roman"/>
          <w:sz w:val="18"/>
          <w:szCs w:val="18"/>
        </w:rPr>
        <w:t xml:space="preserve"> </w:t>
      </w:r>
      <w:r w:rsidR="00A2273F" w:rsidRPr="00A2273F">
        <w:rPr>
          <w:rFonts w:ascii="Times New Roman" w:hAnsi="Times New Roman" w:cs="Times New Roman"/>
          <w:sz w:val="18"/>
          <w:szCs w:val="18"/>
          <w:highlight w:val="green"/>
        </w:rPr>
        <w:t>Direction of the bias is the opposite direction from the correlation between ITT and α</w:t>
      </w:r>
      <w:r w:rsidR="00A2273F">
        <w:rPr>
          <w:rFonts w:ascii="Times New Roman" w:hAnsi="Times New Roman" w:cs="Times New Roman"/>
          <w:sz w:val="18"/>
          <w:szCs w:val="18"/>
        </w:rPr>
        <w:t>.</w:t>
      </w:r>
    </w:p>
    <w:p w14:paraId="45FF13C2" w14:textId="44DA4740" w:rsidR="005538AC" w:rsidRPr="00111E4B" w:rsidRDefault="005538AC" w:rsidP="00111E4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538AC">
        <w:rPr>
          <w:rFonts w:ascii="Times New Roman" w:hAnsi="Times New Roman" w:cs="Times New Roman"/>
          <w:sz w:val="18"/>
          <w:szCs w:val="18"/>
        </w:rPr>
        <w:t xml:space="preserve">ATE </w:t>
      </w:r>
      <w:r>
        <w:rPr>
          <w:rFonts w:ascii="Times New Roman" w:hAnsi="Times New Roman" w:cs="Times New Roman"/>
          <w:sz w:val="18"/>
          <w:szCs w:val="18"/>
        </w:rPr>
        <w:t>(average treatment effect for the whole population</w:t>
      </w:r>
      <w:r w:rsidR="00206EDA">
        <w:rPr>
          <w:rFonts w:ascii="Times New Roman" w:hAnsi="Times New Roman" w:cs="Times New Roman"/>
          <w:sz w:val="18"/>
          <w:szCs w:val="18"/>
        </w:rPr>
        <w:t>, which is the ITT</w:t>
      </w:r>
      <w:r w:rsidR="00206EDA">
        <w:rPr>
          <w:rFonts w:ascii="Times New Roman" w:hAnsi="Times New Roman" w:cs="Times New Roman"/>
          <w:sz w:val="18"/>
          <w:szCs w:val="18"/>
          <w:vertAlign w:val="subscript"/>
        </w:rPr>
        <w:t>Y</w:t>
      </w:r>
      <w:r>
        <w:rPr>
          <w:rFonts w:ascii="Times New Roman" w:hAnsi="Times New Roman" w:cs="Times New Roman"/>
          <w:sz w:val="18"/>
          <w:szCs w:val="18"/>
        </w:rPr>
        <w:t>)</w:t>
      </w:r>
      <w:r w:rsidR="00060CD3">
        <w:rPr>
          <w:rFonts w:ascii="Times New Roman" w:hAnsi="Times New Roman" w:cs="Times New Roman"/>
          <w:sz w:val="18"/>
          <w:szCs w:val="18"/>
        </w:rPr>
        <w:t xml:space="preserve"> </w:t>
      </w:r>
      <w:r w:rsidRPr="005538AC">
        <w:rPr>
          <w:rFonts w:ascii="Times New Roman" w:hAnsi="Times New Roman" w:cs="Times New Roman"/>
          <w:sz w:val="18"/>
          <w:szCs w:val="18"/>
        </w:rPr>
        <w:t xml:space="preserve">vs. </w:t>
      </w:r>
      <w:r>
        <w:rPr>
          <w:rFonts w:ascii="Times New Roman" w:hAnsi="Times New Roman" w:cs="Times New Roman"/>
          <w:b/>
          <w:bCs/>
          <w:sz w:val="18"/>
          <w:szCs w:val="18"/>
        </w:rPr>
        <w:t>CACE</w:t>
      </w:r>
      <w:r w:rsidR="00C05574">
        <w:rPr>
          <w:rFonts w:ascii="Times New Roman" w:hAnsi="Times New Roman" w:cs="Times New Roman"/>
          <w:sz w:val="18"/>
          <w:szCs w:val="18"/>
        </w:rPr>
        <w:t>/complier-average-causal-effect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 w:rsidRPr="0068169A">
        <w:rPr>
          <w:rFonts w:ascii="Times New Roman" w:hAnsi="Times New Roman" w:cs="Times New Roman"/>
          <w:sz w:val="18"/>
          <w:szCs w:val="18"/>
          <w:highlight w:val="yellow"/>
        </w:rPr>
        <w:t>average treatment effect for the population who comply with their assignment</w:t>
      </w:r>
      <w:r>
        <w:rPr>
          <w:rFonts w:ascii="Times New Roman" w:hAnsi="Times New Roman" w:cs="Times New Roman"/>
          <w:sz w:val="18"/>
          <w:szCs w:val="18"/>
        </w:rPr>
        <w:t>).</w:t>
      </w:r>
      <w:r w:rsidR="00111E4B">
        <w:rPr>
          <w:rFonts w:ascii="Times New Roman" w:hAnsi="Times New Roman" w:cs="Times New Roman"/>
          <w:sz w:val="18"/>
          <w:szCs w:val="18"/>
        </w:rPr>
        <w:t xml:space="preserve"> We can only learn about compliers, which is why we focus on the CACE. </w:t>
      </w:r>
      <w:r w:rsidR="00111E4B" w:rsidRPr="00111E4B">
        <w:rPr>
          <w:rFonts w:ascii="Times New Roman" w:hAnsi="Times New Roman" w:cs="Times New Roman"/>
          <w:sz w:val="18"/>
          <w:szCs w:val="18"/>
          <w:highlight w:val="yellow"/>
        </w:rPr>
        <w:t>CACE = ITT/take-up rate</w:t>
      </w:r>
      <w:r w:rsidR="00111E4B">
        <w:rPr>
          <w:rFonts w:ascii="Times New Roman" w:hAnsi="Times New Roman" w:cs="Times New Roman"/>
          <w:sz w:val="18"/>
          <w:szCs w:val="18"/>
        </w:rPr>
        <w:t>.</w:t>
      </w:r>
    </w:p>
    <w:p w14:paraId="1DB25B58" w14:textId="52E29752" w:rsidR="002A146B" w:rsidRPr="00111E4B" w:rsidRDefault="006D2079" w:rsidP="00111E4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there is non-compliance, cannot measure potential outcomes for non-compliers. No guarantee that ATE = CACE</w:t>
      </w:r>
    </w:p>
    <w:p w14:paraId="688BBE19" w14:textId="3D3D9C95" w:rsidR="00D94DB1" w:rsidRDefault="00D94DB1" w:rsidP="00111E4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542EF">
        <w:rPr>
          <w:rFonts w:ascii="Times New Roman" w:hAnsi="Times New Roman" w:cs="Times New Roman"/>
          <w:sz w:val="18"/>
          <w:szCs w:val="18"/>
          <w:highlight w:val="green"/>
        </w:rPr>
        <w:t>CACE standard errors are dividing the same standard errors with the take-up rate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FACD060" w14:textId="5559FAA4" w:rsidR="000577A8" w:rsidRDefault="000577A8" w:rsidP="00111E4B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2SLS/two stage least squares is a method for estimating the CACE.</w:t>
      </w:r>
    </w:p>
    <w:p w14:paraId="16B8946B" w14:textId="7B609C31" w:rsidR="00FF784C" w:rsidRDefault="009D09C0" w:rsidP="00FF784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Placebo Designs</w:t>
      </w:r>
      <w:r w:rsidR="0072046B">
        <w:rPr>
          <w:rFonts w:ascii="Times New Roman" w:hAnsi="Times New Roman" w:cs="Times New Roman"/>
          <w:sz w:val="18"/>
          <w:szCs w:val="18"/>
        </w:rPr>
        <w:t xml:space="preserve">: employ a placebo to estimate giving a treatment to the control group. The take-up rate should be approximately the same and the </w:t>
      </w:r>
      <w:r w:rsidR="00103037">
        <w:rPr>
          <w:rFonts w:ascii="Times New Roman" w:hAnsi="Times New Roman" w:cs="Times New Roman"/>
          <w:sz w:val="18"/>
          <w:szCs w:val="18"/>
        </w:rPr>
        <w:t>covariates should have the same distribution between treatment and control.</w:t>
      </w:r>
      <w:r w:rsidR="0098615F">
        <w:rPr>
          <w:rFonts w:ascii="Times New Roman" w:hAnsi="Times New Roman" w:cs="Times New Roman"/>
          <w:sz w:val="18"/>
          <w:szCs w:val="18"/>
        </w:rPr>
        <w:t xml:space="preserve"> Increases precision: shrinks standard errors and confidence intervals.</w:t>
      </w:r>
    </w:p>
    <w:p w14:paraId="7290A05D" w14:textId="4DE7F80F" w:rsidR="00305F44" w:rsidRDefault="00305F44" w:rsidP="00305F4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2D10">
        <w:rPr>
          <w:rFonts w:ascii="Times New Roman" w:hAnsi="Times New Roman" w:cs="Times New Roman"/>
          <w:sz w:val="18"/>
          <w:szCs w:val="18"/>
          <w:highlight w:val="green"/>
        </w:rPr>
        <w:t>In a placebo design, compare compliers in treatment to compliers in control. Directly compute the average treatment effect on the treated</w:t>
      </w:r>
      <w:r>
        <w:rPr>
          <w:rFonts w:ascii="Times New Roman" w:hAnsi="Times New Roman" w:cs="Times New Roman"/>
          <w:sz w:val="18"/>
          <w:szCs w:val="18"/>
        </w:rPr>
        <w:t xml:space="preserve"> (ATET).</w:t>
      </w:r>
      <w:r w:rsidR="0098615F">
        <w:rPr>
          <w:rFonts w:ascii="Times New Roman" w:hAnsi="Times New Roman" w:cs="Times New Roman"/>
          <w:sz w:val="18"/>
          <w:szCs w:val="18"/>
        </w:rPr>
        <w:t xml:space="preserve"> Does not change our estimated treatment effect as this is unbiased.</w:t>
      </w:r>
    </w:p>
    <w:p w14:paraId="572446F1" w14:textId="50A16438" w:rsidR="00BB2190" w:rsidRPr="00FF784C" w:rsidRDefault="00BB2190" w:rsidP="00305F4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Standard error using an intent-to-treat design will be larger than the standard error from using a placebo design by the factor</w:t>
      </w:r>
      <w:r w:rsidR="0061378E">
        <w:rPr>
          <w:rFonts w:ascii="Times New Roman" w:hAnsi="Times New Roman" w:cs="Times New Roman"/>
          <w:sz w:val="18"/>
          <w:szCs w:val="18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</m:rad>
          </m:den>
        </m:f>
      </m:oMath>
      <w:r w:rsidR="0061378E">
        <w:rPr>
          <w:rFonts w:ascii="Times New Roman" w:hAnsi="Times New Roman" w:cs="Times New Roman"/>
          <w:sz w:val="18"/>
          <w:szCs w:val="18"/>
        </w:rPr>
        <w:t>.</w:t>
      </w:r>
    </w:p>
    <w:p w14:paraId="6FF44FFB" w14:textId="7E1AF48D" w:rsidR="009D09C0" w:rsidRDefault="003B1639" w:rsidP="003B163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Technology to apply placebo: ghost ads (a low-cost way to implement a placebo design in digital advertising</w:t>
      </w:r>
      <w:r w:rsidR="00C26B55">
        <w:rPr>
          <w:rFonts w:ascii="Times New Roman" w:hAnsi="Times New Roman" w:cs="Times New Roman"/>
          <w:sz w:val="18"/>
          <w:szCs w:val="18"/>
        </w:rPr>
        <w:t>, logged the counterfactual ad impressions that would have occurred in the control group</w:t>
      </w:r>
      <w:r>
        <w:rPr>
          <w:rFonts w:ascii="Times New Roman" w:hAnsi="Times New Roman" w:cs="Times New Roman"/>
          <w:sz w:val="18"/>
          <w:szCs w:val="18"/>
        </w:rPr>
        <w:t>)</w:t>
      </w:r>
      <w:r w:rsidR="004F3E56">
        <w:rPr>
          <w:rFonts w:ascii="Times New Roman" w:hAnsi="Times New Roman" w:cs="Times New Roman"/>
          <w:sz w:val="18"/>
          <w:szCs w:val="18"/>
        </w:rPr>
        <w:t xml:space="preserve">. </w:t>
      </w:r>
      <w:r w:rsidR="00337E81">
        <w:rPr>
          <w:rFonts w:ascii="Times New Roman" w:hAnsi="Times New Roman" w:cs="Times New Roman"/>
          <w:sz w:val="18"/>
          <w:szCs w:val="18"/>
        </w:rPr>
        <w:t>If they were supposed to play a treatment ad, but were in the control group, then s</w:t>
      </w:r>
      <w:r w:rsidR="004F3E56">
        <w:rPr>
          <w:rFonts w:ascii="Times New Roman" w:hAnsi="Times New Roman" w:cs="Times New Roman"/>
          <w:sz w:val="18"/>
          <w:szCs w:val="18"/>
        </w:rPr>
        <w:t>elect the next best ad</w:t>
      </w:r>
      <w:r w:rsidR="00A27B16">
        <w:rPr>
          <w:rFonts w:ascii="Times New Roman" w:hAnsi="Times New Roman" w:cs="Times New Roman"/>
          <w:sz w:val="18"/>
          <w:szCs w:val="18"/>
        </w:rPr>
        <w:t xml:space="preserve"> (log the fact that they would have received a treatment ad if they were in the control group)</w:t>
      </w:r>
      <w:r w:rsidR="00337E81">
        <w:rPr>
          <w:rFonts w:ascii="Times New Roman" w:hAnsi="Times New Roman" w:cs="Times New Roman"/>
          <w:sz w:val="18"/>
          <w:szCs w:val="18"/>
        </w:rPr>
        <w:t>.</w:t>
      </w:r>
    </w:p>
    <w:p w14:paraId="6B24C340" w14:textId="6390579D" w:rsidR="00864681" w:rsidRDefault="00864681" w:rsidP="003B163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Placebo effect should have no causal outcome.</w:t>
      </w:r>
    </w:p>
    <w:p w14:paraId="0AAD4407" w14:textId="03CD29D7" w:rsidR="009D09C0" w:rsidRDefault="009D09C0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Two-sided Noncompliance</w:t>
      </w:r>
      <w:r w:rsidR="00556CFA">
        <w:rPr>
          <w:rFonts w:ascii="Times New Roman" w:hAnsi="Times New Roman" w:cs="Times New Roman"/>
          <w:sz w:val="18"/>
          <w:szCs w:val="18"/>
        </w:rPr>
        <w:t>: treatment group receives control and control group receives treatment.</w:t>
      </w:r>
    </w:p>
    <w:p w14:paraId="40699AE2" w14:textId="051911BB" w:rsidR="00556CFA" w:rsidRDefault="00556CFA" w:rsidP="00556CF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Compliers (do exactly what we want), never-takers (never gets treatment regardless of assignment), always-takers (always gets treatment regardless of assignment),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defiers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(do the opposite of what we want).</w:t>
      </w:r>
    </w:p>
    <w:p w14:paraId="7FBEC8C7" w14:textId="77777777" w:rsidR="00437348" w:rsidRDefault="00861F8A" w:rsidP="0043734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965AC">
        <w:rPr>
          <w:rFonts w:ascii="Times New Roman" w:hAnsi="Times New Roman" w:cs="Times New Roman"/>
          <w:sz w:val="18"/>
          <w:szCs w:val="18"/>
          <w:highlight w:val="green"/>
        </w:rPr>
        <w:t xml:space="preserve">Key assumption: no </w:t>
      </w:r>
      <w:proofErr w:type="spellStart"/>
      <w:r w:rsidRPr="00B965AC">
        <w:rPr>
          <w:rFonts w:ascii="Times New Roman" w:hAnsi="Times New Roman" w:cs="Times New Roman"/>
          <w:sz w:val="18"/>
          <w:szCs w:val="18"/>
          <w:highlight w:val="green"/>
        </w:rPr>
        <w:t>defiers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Monoticity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assumption: dosage d is monotonically increasing in the treatment assignment z. </w:t>
      </w:r>
      <w:r w:rsidR="00437348" w:rsidRPr="00437348">
        <w:rPr>
          <w:rFonts w:ascii="Times New Roman" w:hAnsi="Times New Roman" w:cs="Times New Roman"/>
          <w:sz w:val="18"/>
          <w:szCs w:val="18"/>
        </w:rPr>
        <w:t xml:space="preserve">If there are no </w:t>
      </w:r>
      <w:proofErr w:type="spellStart"/>
      <w:r w:rsidR="00437348" w:rsidRPr="00437348">
        <w:rPr>
          <w:rFonts w:ascii="Times New Roman" w:hAnsi="Times New Roman" w:cs="Times New Roman"/>
          <w:sz w:val="18"/>
          <w:szCs w:val="18"/>
        </w:rPr>
        <w:t>defiers</w:t>
      </w:r>
      <w:proofErr w:type="spellEnd"/>
      <w:r w:rsidR="00437348" w:rsidRPr="00437348">
        <w:rPr>
          <w:rFonts w:ascii="Times New Roman" w:hAnsi="Times New Roman" w:cs="Times New Roman"/>
          <w:sz w:val="18"/>
          <w:szCs w:val="18"/>
        </w:rPr>
        <w:t xml:space="preserve">, then the only treatment effect is on the compliers. </w:t>
      </w:r>
    </w:p>
    <w:p w14:paraId="30EFF9A7" w14:textId="0E821A95" w:rsidR="00437348" w:rsidRDefault="00437348" w:rsidP="00437348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37348">
        <w:rPr>
          <w:rFonts w:ascii="Times New Roman" w:hAnsi="Times New Roman" w:cs="Times New Roman"/>
          <w:sz w:val="18"/>
          <w:szCs w:val="18"/>
        </w:rPr>
        <w:t>Always-takers and never-takers experience no treatment effect</w:t>
      </w:r>
      <w:r>
        <w:rPr>
          <w:rFonts w:ascii="Times New Roman" w:hAnsi="Times New Roman" w:cs="Times New Roman"/>
          <w:sz w:val="18"/>
          <w:szCs w:val="18"/>
        </w:rPr>
        <w:t xml:space="preserve"> because their dosage is the same in treatment as in control.</w:t>
      </w:r>
    </w:p>
    <w:p w14:paraId="31C35DAD" w14:textId="2DD80962" w:rsidR="00437348" w:rsidRDefault="00437348" w:rsidP="00437348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965AC">
        <w:rPr>
          <w:rFonts w:ascii="Times New Roman" w:hAnsi="Times New Roman" w:cs="Times New Roman"/>
          <w:sz w:val="18"/>
          <w:szCs w:val="18"/>
          <w:highlight w:val="green"/>
        </w:rPr>
        <w:t>The only people affected are the compliers, so once again, we compute the ITT across all individuals, and then we rescale our estimate by dividing the share of compliers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3ECCB84" w14:textId="64EA3075" w:rsidR="00925C21" w:rsidRPr="00437348" w:rsidRDefault="00925C21" w:rsidP="00925C21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take-up rate is now the difference in take-up rates between treatment and control. Same formula for CACE.</w:t>
      </w:r>
    </w:p>
    <w:p w14:paraId="34176D20" w14:textId="34065827" w:rsidR="009D09C0" w:rsidRPr="000F5ECA" w:rsidRDefault="009D09C0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A65DA">
        <w:rPr>
          <w:rFonts w:ascii="Times New Roman" w:hAnsi="Times New Roman" w:cs="Times New Roman"/>
          <w:b/>
          <w:bCs/>
          <w:sz w:val="18"/>
          <w:szCs w:val="18"/>
        </w:rPr>
        <w:t>Encouragement Designs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2667F">
        <w:rPr>
          <w:rFonts w:ascii="Times New Roman" w:hAnsi="Times New Roman" w:cs="Times New Roman"/>
          <w:sz w:val="18"/>
          <w:szCs w:val="18"/>
        </w:rPr>
        <w:t>(</w:t>
      </w:r>
      <w:r w:rsidR="00E2667F" w:rsidRPr="003A65DA">
        <w:rPr>
          <w:rFonts w:ascii="Times New Roman" w:hAnsi="Times New Roman" w:cs="Times New Roman"/>
          <w:sz w:val="18"/>
          <w:szCs w:val="18"/>
          <w:highlight w:val="yellow"/>
        </w:rPr>
        <w:t>encourage subjects to follow recommendations</w:t>
      </w:r>
      <w:r w:rsidR="00E2667F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797DB2">
        <w:rPr>
          <w:rFonts w:ascii="Times New Roman" w:hAnsi="Times New Roman" w:cs="Times New Roman"/>
          <w:b/>
          <w:bCs/>
          <w:sz w:val="18"/>
          <w:szCs w:val="18"/>
        </w:rPr>
        <w:t>Downstream Experiments</w:t>
      </w:r>
      <w:r w:rsidR="004F3D3C">
        <w:rPr>
          <w:rFonts w:ascii="Times New Roman" w:hAnsi="Times New Roman" w:cs="Times New Roman"/>
          <w:sz w:val="18"/>
          <w:szCs w:val="18"/>
        </w:rPr>
        <w:t xml:space="preserve"> (</w:t>
      </w:r>
      <w:r w:rsidR="004F3D3C" w:rsidRPr="00797DB2">
        <w:rPr>
          <w:rFonts w:ascii="Times New Roman" w:hAnsi="Times New Roman" w:cs="Times New Roman"/>
          <w:sz w:val="18"/>
          <w:szCs w:val="18"/>
          <w:highlight w:val="yellow"/>
        </w:rPr>
        <w:t>large treatment effect can be observed in subsequent experiments later in</w:t>
      </w:r>
      <w:r w:rsidR="004F3D3C" w:rsidRPr="00EE071C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r w:rsidR="00EE071C" w:rsidRPr="00EE071C">
        <w:rPr>
          <w:rFonts w:ascii="Times New Roman" w:hAnsi="Times New Roman" w:cs="Times New Roman"/>
          <w:sz w:val="18"/>
          <w:szCs w:val="18"/>
          <w:highlight w:val="yellow"/>
        </w:rPr>
        <w:t>time</w:t>
      </w:r>
      <w:r w:rsidR="004F3D3C">
        <w:rPr>
          <w:rFonts w:ascii="Times New Roman" w:hAnsi="Times New Roman" w:cs="Times New Roman"/>
          <w:sz w:val="18"/>
          <w:szCs w:val="18"/>
        </w:rPr>
        <w:t>)</w:t>
      </w:r>
    </w:p>
    <w:p w14:paraId="0AE93344" w14:textId="77777777" w:rsidR="009D09C0" w:rsidRDefault="009D09C0" w:rsidP="001D0D9A">
      <w:pPr>
        <w:pStyle w:val="ListParagraph"/>
        <w:spacing w:after="0" w:line="240" w:lineRule="auto"/>
        <w:ind w:left="432"/>
        <w:rPr>
          <w:rFonts w:ascii="Times New Roman" w:hAnsi="Times New Roman" w:cs="Times New Roman"/>
          <w:sz w:val="18"/>
          <w:szCs w:val="18"/>
        </w:rPr>
      </w:pPr>
    </w:p>
    <w:p w14:paraId="1A18AB71" w14:textId="592566E5" w:rsidR="00906E12" w:rsidRDefault="000F5ECA" w:rsidP="001D0D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Examples</w:t>
      </w:r>
    </w:p>
    <w:p w14:paraId="71976A17" w14:textId="23E167CD" w:rsidR="009D09C0" w:rsidRDefault="000F5ECA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GOTV</w:t>
      </w:r>
      <w:r w:rsidR="009D09C0">
        <w:rPr>
          <w:rFonts w:ascii="Times New Roman" w:hAnsi="Times New Roman" w:cs="Times New Roman"/>
          <w:sz w:val="18"/>
          <w:szCs w:val="18"/>
        </w:rPr>
        <w:t xml:space="preserve"> (Get-out-the-vote): assigned at random. </w:t>
      </w:r>
      <w:r w:rsidR="009D09C0" w:rsidRPr="009D09C0">
        <w:rPr>
          <w:rFonts w:ascii="Times New Roman" w:hAnsi="Times New Roman" w:cs="Times New Roman"/>
          <w:sz w:val="18"/>
          <w:szCs w:val="18"/>
        </w:rPr>
        <w:t>Canvassers knocked on the doors of 1000 people</w:t>
      </w:r>
      <w:r w:rsidR="009D09C0">
        <w:rPr>
          <w:rFonts w:ascii="Times New Roman" w:hAnsi="Times New Roman" w:cs="Times New Roman"/>
          <w:sz w:val="18"/>
          <w:szCs w:val="18"/>
        </w:rPr>
        <w:t xml:space="preserve"> (treatment) and skipped 1000 people (control). 750 people in the treatment group did not receive the treatment even though they were supposed to</w:t>
      </w:r>
      <w:r w:rsidR="00BA2FDF">
        <w:rPr>
          <w:rFonts w:ascii="Times New Roman" w:hAnsi="Times New Roman" w:cs="Times New Roman"/>
          <w:sz w:val="18"/>
          <w:szCs w:val="18"/>
        </w:rPr>
        <w:t xml:space="preserve"> and 250 subjects answered the door.</w:t>
      </w:r>
    </w:p>
    <w:p w14:paraId="1957DBBD" w14:textId="3582451F" w:rsidR="00BA2FDF" w:rsidRDefault="00BA2FDF" w:rsidP="001D0D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Three groups of individuals: Group A (250 who answered the doors), Group B (750 people who didn’t answer their doors), and Group C (1000 people in the control group on whose doors no one knocked)</w:t>
      </w:r>
    </w:p>
    <w:p w14:paraId="61A279B2" w14:textId="43BDCCEC" w:rsidR="005B3923" w:rsidRDefault="005B3923" w:rsidP="001D0D9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Compare Group A to Group C</w:t>
      </w:r>
    </w:p>
    <w:p w14:paraId="636B5273" w14:textId="55B39164" w:rsidR="005B3923" w:rsidRDefault="005B3923" w:rsidP="001D0D9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Compare Group A to Groups B+C</w:t>
      </w:r>
    </w:p>
    <w:p w14:paraId="64DD9A78" w14:textId="57E10AEE" w:rsidR="005B3923" w:rsidRDefault="005B3923" w:rsidP="001D0D9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Compare Group A+B to Group C</w:t>
      </w:r>
      <w:r w:rsidR="00A56595">
        <w:rPr>
          <w:rFonts w:ascii="Times New Roman" w:hAnsi="Times New Roman" w:cs="Times New Roman"/>
          <w:sz w:val="18"/>
          <w:szCs w:val="18"/>
        </w:rPr>
        <w:t>: correct answer for unbiased estimate.</w:t>
      </w:r>
    </w:p>
    <w:p w14:paraId="6F6D228D" w14:textId="50972F8C" w:rsidR="00FF784C" w:rsidRPr="009D09C0" w:rsidRDefault="00FF784C" w:rsidP="00FF784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Placebo: talk about something other than voting.</w:t>
      </w:r>
    </w:p>
    <w:p w14:paraId="2C76DEF2" w14:textId="7B282E63" w:rsidR="000F5ECA" w:rsidRDefault="000F5ECA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Yahoo! Ad Effectiveness</w:t>
      </w:r>
    </w:p>
    <w:p w14:paraId="64A9A4C8" w14:textId="7D870EBF" w:rsidR="007041A8" w:rsidRDefault="007041A8" w:rsidP="001D0D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Group A: Assigned to treatment and received treatment (64% of treatment group, purchased $1.81 per person). </w:t>
      </w:r>
      <w:r>
        <w:rPr>
          <w:rFonts w:ascii="Times New Roman" w:hAnsi="Times New Roman" w:cs="Times New Roman"/>
          <w:sz w:val="18"/>
          <w:szCs w:val="18"/>
        </w:rPr>
        <w:br/>
        <w:t xml:space="preserve">Group B: Assigned to treatment,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but did not receive </w:t>
      </w:r>
      <w:r>
        <w:rPr>
          <w:rFonts w:ascii="Times New Roman" w:hAnsi="Times New Roman" w:cs="Times New Roman"/>
          <w:sz w:val="18"/>
          <w:szCs w:val="18"/>
        </w:rPr>
        <w:t>treatment (36% of treatment group, purchased $2.04 per person)</w:t>
      </w:r>
      <w:r>
        <w:rPr>
          <w:rFonts w:ascii="Times New Roman" w:hAnsi="Times New Roman" w:cs="Times New Roman"/>
          <w:sz w:val="18"/>
          <w:szCs w:val="18"/>
        </w:rPr>
        <w:br/>
        <w:t xml:space="preserve">Group C: Assigned to control </w:t>
      </w:r>
      <w:r>
        <w:rPr>
          <w:rFonts w:ascii="Times New Roman" w:hAnsi="Times New Roman" w:cs="Times New Roman"/>
          <w:i/>
          <w:iCs/>
          <w:sz w:val="18"/>
          <w:szCs w:val="18"/>
        </w:rPr>
        <w:t>but did not receive treatment</w:t>
      </w:r>
      <w:r>
        <w:rPr>
          <w:rFonts w:ascii="Times New Roman" w:hAnsi="Times New Roman" w:cs="Times New Roman"/>
          <w:sz w:val="18"/>
          <w:szCs w:val="18"/>
        </w:rPr>
        <w:t xml:space="preserve"> (100% of the control group, purchased $1.84 per person)</w:t>
      </w:r>
    </w:p>
    <w:p w14:paraId="414DAF98" w14:textId="55600F00" w:rsidR="0003462A" w:rsidRDefault="0003462A" w:rsidP="001D0D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Intent-to-treat (ITT) treatment effect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1.81*0.64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2.04*.36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-1.84=0.05</m:t>
        </m:r>
      </m:oMath>
      <w:r>
        <w:rPr>
          <w:rFonts w:ascii="Times New Roman" w:hAnsi="Times New Roman" w:cs="Times New Roman"/>
          <w:sz w:val="18"/>
          <w:szCs w:val="18"/>
        </w:rPr>
        <w:t>.</w:t>
      </w:r>
    </w:p>
    <w:p w14:paraId="79D5D103" w14:textId="3CF55F5B" w:rsidR="0003462A" w:rsidRDefault="0003462A" w:rsidP="001D0D9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treatment effect on those who were actually treated must have been larger than $0.05.</w:t>
      </w:r>
    </w:p>
    <w:p w14:paraId="2C58048B" w14:textId="359C6296" w:rsidR="0003462A" w:rsidRDefault="0003462A" w:rsidP="001D0D9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Producing an unbiased estimate of the treatment effect on those actually treated requires reweighing this ITT.</w:t>
      </w:r>
    </w:p>
    <w:p w14:paraId="4B7EEB1C" w14:textId="640FFA94" w:rsidR="00800219" w:rsidRDefault="00800219" w:rsidP="0080021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</w:t>
      </w:r>
      <m:oMath>
        <m:r>
          <w:rPr>
            <w:rFonts w:ascii="Cambria Math" w:hAnsi="Cambria Math" w:cs="Times New Roman"/>
            <w:sz w:val="18"/>
            <w:szCs w:val="18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ITT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=0.064</m:t>
        </m:r>
      </m:oMath>
      <w:r>
        <w:rPr>
          <w:rFonts w:ascii="Times New Roman" w:hAnsi="Times New Roman" w:cs="Times New Roman"/>
          <w:sz w:val="18"/>
          <w:szCs w:val="18"/>
        </w:rPr>
        <w:t xml:space="preserve"> (fraction of compliers reached with ads). Treatment effect only comes from the 64% of population who received ads.</w:t>
      </w:r>
    </w:p>
    <w:p w14:paraId="6C5F257B" w14:textId="540CF853" w:rsidR="00800219" w:rsidRDefault="00800219" w:rsidP="0080021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Never-takers should have zero treatment effect (if the exclusion restriction were true).</w:t>
      </w:r>
    </w:p>
    <w:p w14:paraId="109F6BF6" w14:textId="37CF1090" w:rsidR="00800219" w:rsidRDefault="00800219" w:rsidP="00A7286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</w:t>
      </w:r>
      <m:oMath>
        <m:r>
          <w:rPr>
            <w:rFonts w:ascii="Cambria Math" w:hAnsi="Cambria Math" w:cs="Times New Roman"/>
            <w:sz w:val="18"/>
            <w:szCs w:val="18"/>
          </w:rPr>
          <m:t>CACE=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ITT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0.05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0.64</m:t>
            </m:r>
          </m:den>
        </m:f>
        <m:r>
          <w:rPr>
            <w:rFonts w:ascii="Cambria Math" w:hAnsi="Cambria Math" w:cs="Times New Roman"/>
            <w:sz w:val="18"/>
            <w:szCs w:val="18"/>
          </w:rPr>
          <m:t>=0.08</m:t>
        </m:r>
      </m:oMath>
      <w:r>
        <w:rPr>
          <w:rFonts w:ascii="Times New Roman" w:hAnsi="Times New Roman" w:cs="Times New Roman"/>
          <w:sz w:val="18"/>
          <w:szCs w:val="18"/>
        </w:rPr>
        <w:t>.</w:t>
      </w:r>
    </w:p>
    <w:p w14:paraId="1DBB46C5" w14:textId="13132AB2" w:rsidR="00FF784C" w:rsidRPr="007041A8" w:rsidRDefault="00FF784C" w:rsidP="00FF784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Placebo: run unrelated ads.</w:t>
      </w:r>
      <w:r w:rsidR="00A7295A">
        <w:rPr>
          <w:rFonts w:ascii="Times New Roman" w:hAnsi="Times New Roman" w:cs="Times New Roman"/>
          <w:sz w:val="18"/>
          <w:szCs w:val="18"/>
        </w:rPr>
        <w:t xml:space="preserve"> Ran a placebo campaign.</w:t>
      </w:r>
    </w:p>
    <w:p w14:paraId="4701C8FB" w14:textId="4C3C44D3" w:rsidR="000F5ECA" w:rsidRDefault="000F5ECA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Blood Pressure</w:t>
      </w:r>
      <w:r w:rsidR="006C29D5">
        <w:rPr>
          <w:rFonts w:ascii="Times New Roman" w:hAnsi="Times New Roman" w:cs="Times New Roman"/>
          <w:sz w:val="18"/>
          <w:szCs w:val="18"/>
        </w:rPr>
        <w:t>: 100 patients in each control and treatment groups. 60 treatment compliers (mean=1</w:t>
      </w:r>
      <w:r w:rsidR="00F83F92">
        <w:rPr>
          <w:rFonts w:ascii="Times New Roman" w:hAnsi="Times New Roman" w:cs="Times New Roman"/>
          <w:sz w:val="18"/>
          <w:szCs w:val="18"/>
        </w:rPr>
        <w:t>5</w:t>
      </w:r>
      <w:r w:rsidR="006C29D5">
        <w:rPr>
          <w:rFonts w:ascii="Times New Roman" w:hAnsi="Times New Roman" w:cs="Times New Roman"/>
          <w:sz w:val="18"/>
          <w:szCs w:val="18"/>
        </w:rPr>
        <w:t>0) and 40 treatment never-takers (mean=100)</w:t>
      </w:r>
      <w:r w:rsidR="00F83F92">
        <w:rPr>
          <w:rFonts w:ascii="Times New Roman" w:hAnsi="Times New Roman" w:cs="Times New Roman"/>
          <w:sz w:val="18"/>
          <w:szCs w:val="18"/>
        </w:rPr>
        <w:t>, giving total mean of 130 for treatment. There is a given 140 mean for control.</w:t>
      </w:r>
    </w:p>
    <w:p w14:paraId="6BCDEE50" w14:textId="2BDA6D52" w:rsidR="004E5F82" w:rsidRDefault="004E5F82" w:rsidP="004E5F8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From inference by randomization, can figure out equivalent proportion of compliers/never-takers in the control group.</w:t>
      </w:r>
    </w:p>
    <w:p w14:paraId="75A0C012" w14:textId="0A7D665C" w:rsidR="006D578E" w:rsidRDefault="006D578E" w:rsidP="004E5F8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Inferred control group mean=100. Medicine can’t affect people who don’t take it.</w:t>
      </w:r>
    </w:p>
    <w:p w14:paraId="07CC801D" w14:textId="63FB1B69" w:rsidR="00104D4B" w:rsidRDefault="00104D4B" w:rsidP="004E5F8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data tells us nothing about the treatment effect on non-compliers, so we can’t ever know the full ATE.</w:t>
      </w:r>
    </w:p>
    <w:p w14:paraId="5862F789" w14:textId="7C2D9CC9" w:rsidR="00104D4B" w:rsidRDefault="00104D4B" w:rsidP="00104D4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exclusion restriction is that assignment to treatment has no impact on blood pressure, unless they actually taking their pills. Only taking pills affect blood pressure.</w:t>
      </w:r>
    </w:p>
    <w:p w14:paraId="7CE4CB71" w14:textId="07D443CF" w:rsidR="00F83F92" w:rsidRDefault="00F83F92" w:rsidP="00F83F9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CACE calculation: </w:t>
      </w:r>
      <m:oMath>
        <m:r>
          <w:rPr>
            <w:rFonts w:ascii="Cambria Math" w:hAnsi="Cambria Math" w:cs="Times New Roman"/>
            <w:sz w:val="18"/>
            <w:szCs w:val="18"/>
          </w:rPr>
          <m:t>130-140=0.6*CACE+0.4*0</m:t>
        </m:r>
      </m:oMath>
      <w:r>
        <w:rPr>
          <w:rFonts w:ascii="Times New Roman" w:hAnsi="Times New Roman" w:cs="Times New Roman"/>
          <w:sz w:val="18"/>
          <w:szCs w:val="18"/>
        </w:rPr>
        <w:t xml:space="preserve"> where 0 is the effect of the drug. </w:t>
      </w:r>
      <m:oMath>
        <m:r>
          <w:rPr>
            <w:rFonts w:ascii="Cambria Math" w:hAnsi="Cambria Math" w:cs="Times New Roman"/>
            <w:sz w:val="18"/>
            <w:szCs w:val="18"/>
          </w:rPr>
          <m:t>CACE= -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10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0.6</m:t>
            </m:r>
          </m:den>
        </m:f>
        <m:r>
          <w:rPr>
            <w:rFonts w:ascii="Cambria Math" w:hAnsi="Cambria Math" w:cs="Times New Roman"/>
            <w:sz w:val="18"/>
            <w:szCs w:val="18"/>
          </w:rPr>
          <m:t>=-16.67</m:t>
        </m:r>
      </m:oMath>
      <w:r w:rsidR="009E095E">
        <w:rPr>
          <w:rFonts w:ascii="Times New Roman" w:hAnsi="Times New Roman" w:cs="Times New Roman"/>
          <w:sz w:val="18"/>
          <w:szCs w:val="18"/>
        </w:rPr>
        <w:t>.</w:t>
      </w:r>
    </w:p>
    <w:p w14:paraId="1B2A26AE" w14:textId="2E9D0CED" w:rsidR="008F5AAC" w:rsidRDefault="008F5AAC" w:rsidP="001D0D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KIPP Lottery</w:t>
      </w:r>
    </w:p>
    <w:p w14:paraId="2A2AC056" w14:textId="7F5B61F2" w:rsidR="00164F0D" w:rsidRDefault="00164F0D" w:rsidP="005B391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Instrumental variables: way to purge the dirty variation and be left only with the clean variation</w:t>
      </w:r>
    </w:p>
    <w:p w14:paraId="5A05BAC2" w14:textId="56BE8181" w:rsidR="005B3919" w:rsidRDefault="005B3919" w:rsidP="00164F0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Clean variation: random variation generated by the </w:t>
      </w:r>
      <w:r w:rsidR="00F91050">
        <w:rPr>
          <w:rFonts w:ascii="Times New Roman" w:hAnsi="Times New Roman" w:cs="Times New Roman"/>
          <w:sz w:val="18"/>
          <w:szCs w:val="18"/>
        </w:rPr>
        <w:t>lottery</w:t>
      </w:r>
    </w:p>
    <w:p w14:paraId="4AA20032" w14:textId="2EDBEAB2" w:rsidR="005B3919" w:rsidRDefault="005B3919" w:rsidP="00164F0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Dirty variation: endogenous variation generated by heterogenous student behavior.</w:t>
      </w:r>
    </w:p>
    <w:p w14:paraId="45C7861B" w14:textId="6FA5280C" w:rsidR="00211BD0" w:rsidRDefault="00211BD0" w:rsidP="00211BD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DFE5144" w14:textId="2A4BEE9F" w:rsidR="00211BD0" w:rsidRPr="00211BD0" w:rsidRDefault="00211BD0" w:rsidP="00211BD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E0E0362" wp14:editId="1E03866C">
            <wp:extent cx="6858000" cy="423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D0" w:rsidRPr="00211BD0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24A86"/>
    <w:rsid w:val="0003462A"/>
    <w:rsid w:val="0005277B"/>
    <w:rsid w:val="000577A8"/>
    <w:rsid w:val="00060CD3"/>
    <w:rsid w:val="00081D83"/>
    <w:rsid w:val="000843B6"/>
    <w:rsid w:val="000D3803"/>
    <w:rsid w:val="000F028F"/>
    <w:rsid w:val="000F150D"/>
    <w:rsid w:val="000F5ECA"/>
    <w:rsid w:val="000F6047"/>
    <w:rsid w:val="00103037"/>
    <w:rsid w:val="00104D4B"/>
    <w:rsid w:val="00111E4B"/>
    <w:rsid w:val="00116B62"/>
    <w:rsid w:val="00117323"/>
    <w:rsid w:val="00120427"/>
    <w:rsid w:val="00121D3A"/>
    <w:rsid w:val="0013017A"/>
    <w:rsid w:val="001406F0"/>
    <w:rsid w:val="00161C4D"/>
    <w:rsid w:val="00164F0D"/>
    <w:rsid w:val="0017020B"/>
    <w:rsid w:val="00197B90"/>
    <w:rsid w:val="001A7198"/>
    <w:rsid w:val="001B0A12"/>
    <w:rsid w:val="001B257F"/>
    <w:rsid w:val="001C71C4"/>
    <w:rsid w:val="001D0D9A"/>
    <w:rsid w:val="001D3C17"/>
    <w:rsid w:val="001E33C0"/>
    <w:rsid w:val="001E52B3"/>
    <w:rsid w:val="00206EDA"/>
    <w:rsid w:val="00211BD0"/>
    <w:rsid w:val="00225A56"/>
    <w:rsid w:val="00232C7F"/>
    <w:rsid w:val="0023583E"/>
    <w:rsid w:val="00236E60"/>
    <w:rsid w:val="00244ED2"/>
    <w:rsid w:val="00254CF5"/>
    <w:rsid w:val="00260CE8"/>
    <w:rsid w:val="00272E81"/>
    <w:rsid w:val="002769FC"/>
    <w:rsid w:val="0027746A"/>
    <w:rsid w:val="00292395"/>
    <w:rsid w:val="002A146B"/>
    <w:rsid w:val="002D7B80"/>
    <w:rsid w:val="003047D5"/>
    <w:rsid w:val="00305F44"/>
    <w:rsid w:val="003060E4"/>
    <w:rsid w:val="00315935"/>
    <w:rsid w:val="0031786D"/>
    <w:rsid w:val="00322029"/>
    <w:rsid w:val="00335355"/>
    <w:rsid w:val="00337E81"/>
    <w:rsid w:val="003641EE"/>
    <w:rsid w:val="0037753E"/>
    <w:rsid w:val="00387869"/>
    <w:rsid w:val="00390EC5"/>
    <w:rsid w:val="003A65DA"/>
    <w:rsid w:val="003B059D"/>
    <w:rsid w:val="003B1639"/>
    <w:rsid w:val="003B19A0"/>
    <w:rsid w:val="003E25C8"/>
    <w:rsid w:val="003E6A0B"/>
    <w:rsid w:val="003F0D67"/>
    <w:rsid w:val="003F6E09"/>
    <w:rsid w:val="003F7461"/>
    <w:rsid w:val="00401DE9"/>
    <w:rsid w:val="004106EE"/>
    <w:rsid w:val="00417464"/>
    <w:rsid w:val="00417B06"/>
    <w:rsid w:val="00423325"/>
    <w:rsid w:val="0043730F"/>
    <w:rsid w:val="00437348"/>
    <w:rsid w:val="00453359"/>
    <w:rsid w:val="00467D44"/>
    <w:rsid w:val="00483E81"/>
    <w:rsid w:val="004A6CE4"/>
    <w:rsid w:val="004B2B73"/>
    <w:rsid w:val="004B3D16"/>
    <w:rsid w:val="004B6022"/>
    <w:rsid w:val="004C30D3"/>
    <w:rsid w:val="004D42BC"/>
    <w:rsid w:val="004E4C78"/>
    <w:rsid w:val="004E4CA8"/>
    <w:rsid w:val="004E5F82"/>
    <w:rsid w:val="004E6AAA"/>
    <w:rsid w:val="004E7DCD"/>
    <w:rsid w:val="004F3D3C"/>
    <w:rsid w:val="004F3E56"/>
    <w:rsid w:val="0051197B"/>
    <w:rsid w:val="00520224"/>
    <w:rsid w:val="00532723"/>
    <w:rsid w:val="00543F05"/>
    <w:rsid w:val="005470D9"/>
    <w:rsid w:val="005538AC"/>
    <w:rsid w:val="00556CFA"/>
    <w:rsid w:val="005728BF"/>
    <w:rsid w:val="00573663"/>
    <w:rsid w:val="00573B3C"/>
    <w:rsid w:val="0057463A"/>
    <w:rsid w:val="00575514"/>
    <w:rsid w:val="005A1EAD"/>
    <w:rsid w:val="005B3576"/>
    <w:rsid w:val="005B3919"/>
    <w:rsid w:val="005B3923"/>
    <w:rsid w:val="005B403B"/>
    <w:rsid w:val="005C0692"/>
    <w:rsid w:val="005C6865"/>
    <w:rsid w:val="005D43F8"/>
    <w:rsid w:val="005F3E3C"/>
    <w:rsid w:val="005F4A44"/>
    <w:rsid w:val="006133BA"/>
    <w:rsid w:val="0061378E"/>
    <w:rsid w:val="006161E0"/>
    <w:rsid w:val="0063594C"/>
    <w:rsid w:val="00647FBF"/>
    <w:rsid w:val="00653B19"/>
    <w:rsid w:val="00653BA0"/>
    <w:rsid w:val="0068169A"/>
    <w:rsid w:val="006A4B18"/>
    <w:rsid w:val="006B625C"/>
    <w:rsid w:val="006B722B"/>
    <w:rsid w:val="006C29D5"/>
    <w:rsid w:val="006C50EF"/>
    <w:rsid w:val="006D2079"/>
    <w:rsid w:val="006D3269"/>
    <w:rsid w:val="006D578E"/>
    <w:rsid w:val="006E28F3"/>
    <w:rsid w:val="007041A8"/>
    <w:rsid w:val="00705635"/>
    <w:rsid w:val="00715B31"/>
    <w:rsid w:val="0072046B"/>
    <w:rsid w:val="00753DA4"/>
    <w:rsid w:val="00762C11"/>
    <w:rsid w:val="00764560"/>
    <w:rsid w:val="0077071F"/>
    <w:rsid w:val="0077461F"/>
    <w:rsid w:val="00787413"/>
    <w:rsid w:val="00797DB2"/>
    <w:rsid w:val="007A77B2"/>
    <w:rsid w:val="007C34B4"/>
    <w:rsid w:val="007C35D3"/>
    <w:rsid w:val="007D7233"/>
    <w:rsid w:val="007E072E"/>
    <w:rsid w:val="00800219"/>
    <w:rsid w:val="00802960"/>
    <w:rsid w:val="008034C3"/>
    <w:rsid w:val="008175F5"/>
    <w:rsid w:val="0084614D"/>
    <w:rsid w:val="00853811"/>
    <w:rsid w:val="00861F8A"/>
    <w:rsid w:val="00864681"/>
    <w:rsid w:val="008C5E15"/>
    <w:rsid w:val="008E386D"/>
    <w:rsid w:val="008F0E8A"/>
    <w:rsid w:val="008F20D8"/>
    <w:rsid w:val="008F5AAC"/>
    <w:rsid w:val="00906E12"/>
    <w:rsid w:val="00925C21"/>
    <w:rsid w:val="009331C4"/>
    <w:rsid w:val="0097142C"/>
    <w:rsid w:val="0097360E"/>
    <w:rsid w:val="00982705"/>
    <w:rsid w:val="0098615F"/>
    <w:rsid w:val="00986444"/>
    <w:rsid w:val="009868E4"/>
    <w:rsid w:val="00997504"/>
    <w:rsid w:val="009C0806"/>
    <w:rsid w:val="009C40B2"/>
    <w:rsid w:val="009C7400"/>
    <w:rsid w:val="009D09C0"/>
    <w:rsid w:val="009D5D18"/>
    <w:rsid w:val="009E095E"/>
    <w:rsid w:val="009F5981"/>
    <w:rsid w:val="00A2273F"/>
    <w:rsid w:val="00A27B16"/>
    <w:rsid w:val="00A34A5F"/>
    <w:rsid w:val="00A56595"/>
    <w:rsid w:val="00A72869"/>
    <w:rsid w:val="00A7295A"/>
    <w:rsid w:val="00A72D8E"/>
    <w:rsid w:val="00A8464A"/>
    <w:rsid w:val="00A84B9D"/>
    <w:rsid w:val="00AB2D10"/>
    <w:rsid w:val="00AC1651"/>
    <w:rsid w:val="00AC4438"/>
    <w:rsid w:val="00B375E6"/>
    <w:rsid w:val="00B40C5A"/>
    <w:rsid w:val="00B41F07"/>
    <w:rsid w:val="00B430DB"/>
    <w:rsid w:val="00B631EF"/>
    <w:rsid w:val="00B965AC"/>
    <w:rsid w:val="00BA1297"/>
    <w:rsid w:val="00BA2FDF"/>
    <w:rsid w:val="00BA3085"/>
    <w:rsid w:val="00BA6D5E"/>
    <w:rsid w:val="00BB2190"/>
    <w:rsid w:val="00BC7E91"/>
    <w:rsid w:val="00BD7D6D"/>
    <w:rsid w:val="00C02E0E"/>
    <w:rsid w:val="00C05574"/>
    <w:rsid w:val="00C135B5"/>
    <w:rsid w:val="00C26B55"/>
    <w:rsid w:val="00C3046B"/>
    <w:rsid w:val="00C31C22"/>
    <w:rsid w:val="00C32D97"/>
    <w:rsid w:val="00C35872"/>
    <w:rsid w:val="00C46417"/>
    <w:rsid w:val="00C542EF"/>
    <w:rsid w:val="00C60C56"/>
    <w:rsid w:val="00C6139B"/>
    <w:rsid w:val="00C638EA"/>
    <w:rsid w:val="00C659B1"/>
    <w:rsid w:val="00C77003"/>
    <w:rsid w:val="00C77559"/>
    <w:rsid w:val="00C81CD8"/>
    <w:rsid w:val="00C820C3"/>
    <w:rsid w:val="00CA77B3"/>
    <w:rsid w:val="00CE2580"/>
    <w:rsid w:val="00D02F9A"/>
    <w:rsid w:val="00D43E75"/>
    <w:rsid w:val="00D44CA5"/>
    <w:rsid w:val="00D513BD"/>
    <w:rsid w:val="00D56444"/>
    <w:rsid w:val="00D65766"/>
    <w:rsid w:val="00D81D49"/>
    <w:rsid w:val="00D9063D"/>
    <w:rsid w:val="00D94DB1"/>
    <w:rsid w:val="00DB67A6"/>
    <w:rsid w:val="00DC29A9"/>
    <w:rsid w:val="00DC4125"/>
    <w:rsid w:val="00DC56AF"/>
    <w:rsid w:val="00DC6B61"/>
    <w:rsid w:val="00DD0D3B"/>
    <w:rsid w:val="00DD0EB0"/>
    <w:rsid w:val="00DF182C"/>
    <w:rsid w:val="00DF26BD"/>
    <w:rsid w:val="00DF30DA"/>
    <w:rsid w:val="00DF407D"/>
    <w:rsid w:val="00E04A4B"/>
    <w:rsid w:val="00E2667F"/>
    <w:rsid w:val="00E36F05"/>
    <w:rsid w:val="00E55E35"/>
    <w:rsid w:val="00E723AB"/>
    <w:rsid w:val="00E83EF9"/>
    <w:rsid w:val="00E84608"/>
    <w:rsid w:val="00EA7B1B"/>
    <w:rsid w:val="00EC61C6"/>
    <w:rsid w:val="00ED489A"/>
    <w:rsid w:val="00ED59F6"/>
    <w:rsid w:val="00EE071C"/>
    <w:rsid w:val="00EF26C3"/>
    <w:rsid w:val="00F01906"/>
    <w:rsid w:val="00F351B4"/>
    <w:rsid w:val="00F433D1"/>
    <w:rsid w:val="00F80D0E"/>
    <w:rsid w:val="00F83582"/>
    <w:rsid w:val="00F83F92"/>
    <w:rsid w:val="00F91050"/>
    <w:rsid w:val="00FD129D"/>
    <w:rsid w:val="00FD2383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80</cp:revision>
  <dcterms:created xsi:type="dcterms:W3CDTF">2022-10-04T19:46:00Z</dcterms:created>
  <dcterms:modified xsi:type="dcterms:W3CDTF">2022-10-12T02:29:00Z</dcterms:modified>
</cp:coreProperties>
</file>