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EA" w14:textId="185827C8" w:rsidR="003641EE" w:rsidRPr="003641EE" w:rsidRDefault="00287118" w:rsidP="001D0D9A">
      <w:pPr>
        <w:spacing w:after="0" w:line="240" w:lineRule="auto"/>
        <w:ind w:left="432" w:hanging="432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Causal Inference from Observational Data</w:t>
      </w:r>
    </w:p>
    <w:p w14:paraId="2DFE5144" w14:textId="17505FEE" w:rsidR="00211BD0" w:rsidRDefault="00287118" w:rsidP="00287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Natural Experiments</w:t>
      </w:r>
    </w:p>
    <w:p w14:paraId="0AFBD498" w14:textId="58827275" w:rsidR="007745AA" w:rsidRDefault="00117209" w:rsidP="002871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7209">
        <w:rPr>
          <w:rFonts w:ascii="Times New Roman" w:hAnsi="Times New Roman" w:cs="Times New Roman"/>
          <w:sz w:val="18"/>
          <w:szCs w:val="18"/>
          <w:highlight w:val="green"/>
        </w:rPr>
        <w:t>Instrumental Variables regression</w:t>
      </w:r>
      <w:r>
        <w:rPr>
          <w:rFonts w:ascii="Times New Roman" w:hAnsi="Times New Roman" w:cs="Times New Roman"/>
          <w:sz w:val="18"/>
          <w:szCs w:val="18"/>
        </w:rPr>
        <w:t xml:space="preserve"> involves two equations.</w:t>
      </w:r>
      <w:r w:rsidR="00035CFD">
        <w:rPr>
          <w:rFonts w:ascii="Times New Roman" w:hAnsi="Times New Roman" w:cs="Times New Roman"/>
          <w:sz w:val="18"/>
          <w:szCs w:val="18"/>
        </w:rPr>
        <w:t xml:space="preserve"> This is also two-stage least squares.</w:t>
      </w:r>
    </w:p>
    <w:p w14:paraId="43EFF9AB" w14:textId="6CC31F3B" w:rsidR="007745AA" w:rsidRDefault="007745AA" w:rsidP="007745A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First stage is the ITT</w:t>
      </w:r>
      <w:r>
        <w:rPr>
          <w:rFonts w:ascii="Times New Roman" w:hAnsi="Times New Roman" w:cs="Times New Roman"/>
          <w:sz w:val="18"/>
          <w:szCs w:val="18"/>
          <w:vertAlign w:val="subscript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 in the case of noncompliance. Equivalent to regressing the treatment dosage D on the instrument Z because it tells us how much higher the take-up rate in treatment than in control.</w:t>
      </w:r>
      <w:r w:rsidR="00985604">
        <w:rPr>
          <w:rFonts w:ascii="Times New Roman" w:hAnsi="Times New Roman" w:cs="Times New Roman"/>
          <w:sz w:val="18"/>
          <w:szCs w:val="18"/>
        </w:rPr>
        <w:t xml:space="preserve"> </w:t>
      </w:r>
      <w:r w:rsidR="00117209">
        <w:rPr>
          <w:rFonts w:ascii="Times New Roman" w:hAnsi="Times New Roman" w:cs="Times New Roman"/>
          <w:sz w:val="18"/>
          <w:szCs w:val="18"/>
        </w:rPr>
        <w:t xml:space="preserve"> This is the </w:t>
      </w:r>
      <w:r w:rsidR="00117209" w:rsidRPr="00117209">
        <w:rPr>
          <w:rFonts w:ascii="Times New Roman" w:hAnsi="Times New Roman" w:cs="Times New Roman"/>
          <w:sz w:val="18"/>
          <w:szCs w:val="18"/>
          <w:highlight w:val="green"/>
        </w:rPr>
        <w:t xml:space="preserve">regression of </w:t>
      </w:r>
      <m:oMath>
        <m:r>
          <w:rPr>
            <w:rFonts w:ascii="Cambria Math" w:hAnsi="Cambria Math" w:cs="Times New Roman"/>
            <w:sz w:val="18"/>
            <w:szCs w:val="18"/>
            <w:highlight w:val="green"/>
          </w:rPr>
          <m:t>D~Z</m:t>
        </m:r>
      </m:oMath>
      <w:r w:rsidR="00117209" w:rsidRPr="00117209">
        <w:rPr>
          <w:rFonts w:ascii="Times New Roman" w:hAnsi="Times New Roman" w:cs="Times New Roman"/>
          <w:sz w:val="18"/>
          <w:szCs w:val="18"/>
          <w:highlight w:val="green"/>
        </w:rPr>
        <w:t>.</w:t>
      </w:r>
    </w:p>
    <w:p w14:paraId="1F4CED65" w14:textId="0E4965AD" w:rsidR="00985604" w:rsidRDefault="00985604" w:rsidP="0098560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first-stage regression of </w:t>
      </w:r>
      <m:oMath>
        <m:r>
          <w:rPr>
            <w:rFonts w:ascii="Cambria Math" w:hAnsi="Cambria Math" w:cs="Times New Roman"/>
            <w:sz w:val="18"/>
            <w:szCs w:val="18"/>
          </w:rPr>
          <m:t>D~Z</m:t>
        </m:r>
      </m:oMath>
      <w:r>
        <w:rPr>
          <w:rFonts w:ascii="Times New Roman" w:hAnsi="Times New Roman" w:cs="Times New Roman"/>
          <w:sz w:val="18"/>
          <w:szCs w:val="18"/>
        </w:rPr>
        <w:t xml:space="preserve"> tells us that when</w:t>
      </w:r>
      <w:r w:rsidR="00357EDA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Z=1</m:t>
        </m:r>
      </m:oMath>
      <w:r>
        <w:rPr>
          <w:rFonts w:ascii="Times New Roman" w:hAnsi="Times New Roman" w:cs="Times New Roman"/>
          <w:sz w:val="18"/>
          <w:szCs w:val="18"/>
        </w:rPr>
        <w:t>, the average</w:t>
      </w:r>
      <w:proofErr w:type="gramStart"/>
      <w:r>
        <w:rPr>
          <w:rFonts w:ascii="Times New Roman" w:hAnsi="Times New Roman" w:cs="Times New Roman"/>
          <w:sz w:val="18"/>
          <w:szCs w:val="18"/>
        </w:rPr>
        <w:t>/</w:t>
      </w:r>
      <w:r w:rsidR="00FB0E18">
        <w:rPr>
          <w:rFonts w:ascii="Times New Roman" w:hAnsi="Times New Roman" w:cs="Times New Roman"/>
          <w:sz w:val="18"/>
          <w:szCs w:val="18"/>
        </w:rPr>
        <w:t>“</w:t>
      </w:r>
      <w:proofErr w:type="gramEnd"/>
      <w:r>
        <w:rPr>
          <w:rFonts w:ascii="Times New Roman" w:hAnsi="Times New Roman" w:cs="Times New Roman"/>
          <w:sz w:val="18"/>
          <w:szCs w:val="18"/>
        </w:rPr>
        <w:t>fitted” value of D is 0.787 and when</w:t>
      </w:r>
      <w:r w:rsidR="00357EDA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Z=0</m:t>
        </m:r>
      </m:oMath>
      <w:r>
        <w:rPr>
          <w:rFonts w:ascii="Times New Roman" w:hAnsi="Times New Roman" w:cs="Times New Roman"/>
          <w:sz w:val="18"/>
          <w:szCs w:val="18"/>
        </w:rPr>
        <w:t>, the fitted value of D is 0.046.</w:t>
      </w:r>
    </w:p>
    <w:p w14:paraId="7768BF6E" w14:textId="005ACCC8" w:rsidR="00A35FF4" w:rsidRDefault="00A35FF4" w:rsidP="00A35FF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Include covariates because they can help with statistical power in the estimated causal effect in the second stage. Can help us reduce omitted-variable bias in the first stage. </w:t>
      </w:r>
    </w:p>
    <w:p w14:paraId="30CE5A3E" w14:textId="7D566E64" w:rsidR="00A35FF4" w:rsidRDefault="00A35FF4" w:rsidP="00A35FF4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="00DD5197">
        <w:rPr>
          <w:rFonts w:ascii="Times New Roman" w:hAnsi="Times New Roman" w:cs="Times New Roman"/>
          <w:sz w:val="18"/>
          <w:szCs w:val="18"/>
        </w:rPr>
        <w:t>ovariates you want to include in the final regression must also be included in the first</w:t>
      </w:r>
      <w:r w:rsidR="002103D9">
        <w:rPr>
          <w:rFonts w:ascii="Times New Roman" w:hAnsi="Times New Roman" w:cs="Times New Roman"/>
          <w:sz w:val="18"/>
          <w:szCs w:val="18"/>
        </w:rPr>
        <w:t xml:space="preserve"> </w:t>
      </w:r>
      <w:r w:rsidR="00DD5197">
        <w:rPr>
          <w:rFonts w:ascii="Times New Roman" w:hAnsi="Times New Roman" w:cs="Times New Roman"/>
          <w:sz w:val="18"/>
          <w:szCs w:val="18"/>
        </w:rPr>
        <w:t>stage.</w:t>
      </w:r>
    </w:p>
    <w:p w14:paraId="320C86B9" w14:textId="37E8A1EA" w:rsidR="007745AA" w:rsidRDefault="007745AA" w:rsidP="007745A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Second stage is regressing the </w:t>
      </w:r>
      <w:r w:rsidR="00985604">
        <w:rPr>
          <w:rFonts w:ascii="Times New Roman" w:hAnsi="Times New Roman" w:cs="Times New Roman"/>
          <w:sz w:val="18"/>
          <w:szCs w:val="18"/>
        </w:rPr>
        <w:t>test-score outcome on the fitted values of D from the first-stage regression.</w:t>
      </w:r>
      <w:r w:rsidR="00357EDA">
        <w:rPr>
          <w:rFonts w:ascii="Times New Roman" w:hAnsi="Times New Roman" w:cs="Times New Roman"/>
          <w:sz w:val="18"/>
          <w:szCs w:val="18"/>
        </w:rPr>
        <w:t xml:space="preserve"> </w:t>
      </w:r>
      <w:r w:rsidR="00357EDA" w:rsidRPr="00117209">
        <w:rPr>
          <w:rFonts w:ascii="Times New Roman" w:hAnsi="Times New Roman" w:cs="Times New Roman"/>
          <w:sz w:val="18"/>
          <w:szCs w:val="18"/>
          <w:highlight w:val="green"/>
        </w:rPr>
        <w:t xml:space="preserve">This is </w:t>
      </w:r>
      <m:oMath>
        <m:r>
          <w:rPr>
            <w:rFonts w:ascii="Cambria Math" w:hAnsi="Cambria Math" w:cs="Times New Roman"/>
            <w:sz w:val="18"/>
            <w:szCs w:val="18"/>
            <w:highlight w:val="green"/>
          </w:rPr>
          <m:t>Y~</m:t>
        </m:r>
        <m:acc>
          <m:accPr>
            <m:ctrlPr>
              <w:rPr>
                <w:rFonts w:ascii="Cambria Math" w:hAnsi="Cambria Math" w:cs="Times New Roman"/>
                <w:i/>
                <w:sz w:val="18"/>
                <w:szCs w:val="18"/>
                <w:highlight w:val="green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  <w:highlight w:val="green"/>
              </w:rPr>
              <m:t>D</m:t>
            </m:r>
          </m:e>
        </m:acc>
      </m:oMath>
      <w:r w:rsidR="00357EDA" w:rsidRPr="00117209">
        <w:rPr>
          <w:rFonts w:ascii="Times New Roman" w:hAnsi="Times New Roman" w:cs="Times New Roman"/>
          <w:sz w:val="18"/>
          <w:szCs w:val="18"/>
          <w:highlight w:val="green"/>
        </w:rPr>
        <w:t>.</w:t>
      </w:r>
    </w:p>
    <w:p w14:paraId="742F8C1B" w14:textId="35541ECD" w:rsidR="00985604" w:rsidRDefault="00985604" w:rsidP="0098560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Divide ITT/ITT</w:t>
      </w:r>
      <w:r>
        <w:rPr>
          <w:rFonts w:ascii="Times New Roman" w:hAnsi="Times New Roman" w:cs="Times New Roman"/>
          <w:sz w:val="18"/>
          <w:szCs w:val="18"/>
          <w:vertAlign w:val="subscript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 is the equivalent of running the second-stage regression</w:t>
      </w:r>
      <w:r w:rsidR="00F719B9">
        <w:rPr>
          <w:rFonts w:ascii="Times New Roman" w:hAnsi="Times New Roman" w:cs="Times New Roman"/>
          <w:sz w:val="18"/>
          <w:szCs w:val="18"/>
        </w:rPr>
        <w:t xml:space="preserve"> (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ITT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0.787-0.046</m:t>
                </m:r>
              </m:e>
            </m:d>
          </m:den>
        </m:f>
      </m:oMath>
      <w:r w:rsidR="00F719B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199A924D" w14:textId="0569DD80" w:rsidR="00F719B9" w:rsidRDefault="00F719B9" w:rsidP="0098560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fitted values of D (</w:t>
      </w:r>
      <m:oMath>
        <m:acc>
          <m:acc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</m:acc>
      </m:oMath>
      <w:r>
        <w:rPr>
          <w:rFonts w:ascii="Times New Roman" w:hAnsi="Times New Roman" w:cs="Times New Roman"/>
          <w:sz w:val="18"/>
          <w:szCs w:val="18"/>
        </w:rPr>
        <w:t>) retain only the “clean,” randomized variation in D, but get rid of all the dirty variation in D.</w:t>
      </w:r>
    </w:p>
    <w:p w14:paraId="4963256E" w14:textId="56AD69C2" w:rsidR="00A35FF4" w:rsidRDefault="00A35FF4" w:rsidP="0098560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Can put covariate to help eliminate selection bias resulting from the imperfect instrument.</w:t>
      </w:r>
      <w:r w:rsidR="00DD519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09DAFB" w14:textId="352008B5" w:rsidR="00A35FF4" w:rsidRDefault="00117209" w:rsidP="00A35FF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</w:t>
      </w:r>
      <w:r w:rsidRPr="00117209">
        <w:rPr>
          <w:rFonts w:ascii="Times New Roman" w:hAnsi="Times New Roman" w:cs="Times New Roman"/>
          <w:sz w:val="18"/>
          <w:szCs w:val="18"/>
          <w:highlight w:val="green"/>
        </w:rPr>
        <w:t>reduced-form equation</w:t>
      </w:r>
      <w:r>
        <w:rPr>
          <w:rFonts w:ascii="Times New Roman" w:hAnsi="Times New Roman" w:cs="Times New Roman"/>
          <w:sz w:val="18"/>
          <w:szCs w:val="18"/>
        </w:rPr>
        <w:t xml:space="preserve"> reduces these two equations down to a single equation: the </w:t>
      </w:r>
      <w:r w:rsidRPr="00117209">
        <w:rPr>
          <w:rFonts w:ascii="Times New Roman" w:hAnsi="Times New Roman" w:cs="Times New Roman"/>
          <w:sz w:val="18"/>
          <w:szCs w:val="18"/>
          <w:highlight w:val="green"/>
        </w:rPr>
        <w:t xml:space="preserve">regression of </w:t>
      </w:r>
      <m:oMath>
        <m:r>
          <w:rPr>
            <w:rFonts w:ascii="Cambria Math" w:hAnsi="Cambria Math" w:cs="Times New Roman"/>
            <w:sz w:val="18"/>
            <w:szCs w:val="18"/>
            <w:highlight w:val="green"/>
          </w:rPr>
          <m:t>Y~Z</m:t>
        </m:r>
      </m:oMath>
      <w:r w:rsidRPr="00117209">
        <w:rPr>
          <w:rFonts w:ascii="Times New Roman" w:hAnsi="Times New Roman" w:cs="Times New Roman"/>
          <w:sz w:val="18"/>
          <w:szCs w:val="18"/>
          <w:highlight w:val="green"/>
        </w:rPr>
        <w:t>, estimates the intent-to-treat</w:t>
      </w:r>
      <w:r>
        <w:rPr>
          <w:rFonts w:ascii="Times New Roman" w:hAnsi="Times New Roman" w:cs="Times New Roman"/>
          <w:sz w:val="18"/>
          <w:szCs w:val="1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2"/>
        <w:gridCol w:w="4742"/>
      </w:tblGrid>
      <w:tr w:rsidR="005B20D5" w14:paraId="605ABD69" w14:textId="77777777" w:rsidTr="00B56BE1">
        <w:trPr>
          <w:jc w:val="center"/>
        </w:trPr>
        <w:tc>
          <w:tcPr>
            <w:tcW w:w="4752" w:type="dxa"/>
            <w:shd w:val="clear" w:color="auto" w:fill="E7E6E6" w:themeFill="background2"/>
          </w:tcPr>
          <w:p w14:paraId="3CDB1CE3" w14:textId="384361B2" w:rsidR="005B20D5" w:rsidRPr="00B56BE1" w:rsidRDefault="005B20D5" w:rsidP="005B20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6B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Advantages</w:t>
            </w:r>
          </w:p>
        </w:tc>
        <w:tc>
          <w:tcPr>
            <w:tcW w:w="4742" w:type="dxa"/>
            <w:shd w:val="clear" w:color="auto" w:fill="E7E6E6" w:themeFill="background2"/>
          </w:tcPr>
          <w:p w14:paraId="3CF00E20" w14:textId="4256DAC2" w:rsidR="005B20D5" w:rsidRPr="00B56BE1" w:rsidRDefault="005B20D5" w:rsidP="005B20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6B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Disadvantages</w:t>
            </w:r>
          </w:p>
        </w:tc>
      </w:tr>
      <w:tr w:rsidR="005B20D5" w14:paraId="073D0233" w14:textId="77777777" w:rsidTr="00B56BE1">
        <w:trPr>
          <w:jc w:val="center"/>
        </w:trPr>
        <w:tc>
          <w:tcPr>
            <w:tcW w:w="4752" w:type="dxa"/>
          </w:tcPr>
          <w:p w14:paraId="1421528B" w14:textId="6BA2BA0F" w:rsidR="005B20D5" w:rsidRDefault="005B20D5" w:rsidP="005B20D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Save the time of running an experiment</w:t>
            </w:r>
          </w:p>
        </w:tc>
        <w:tc>
          <w:tcPr>
            <w:tcW w:w="4742" w:type="dxa"/>
          </w:tcPr>
          <w:p w14:paraId="5D685977" w14:textId="5D50DA69" w:rsidR="005B20D5" w:rsidRDefault="007B664D" w:rsidP="005B20D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Administration of randomizing can be difficult (people select, randomization fails, etc.)</w:t>
            </w:r>
          </w:p>
        </w:tc>
      </w:tr>
      <w:tr w:rsidR="005B20D5" w14:paraId="05EE8AE3" w14:textId="77777777" w:rsidTr="00B56BE1">
        <w:trPr>
          <w:jc w:val="center"/>
        </w:trPr>
        <w:tc>
          <w:tcPr>
            <w:tcW w:w="4752" w:type="dxa"/>
          </w:tcPr>
          <w:p w14:paraId="4A8A1B72" w14:textId="63408EF9" w:rsidR="005B20D5" w:rsidRDefault="005B20D5" w:rsidP="005B20D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Estimation is straightforward. IV/2SLS is very similar to OLS.</w:t>
            </w:r>
          </w:p>
        </w:tc>
        <w:tc>
          <w:tcPr>
            <w:tcW w:w="4742" w:type="dxa"/>
          </w:tcPr>
          <w:p w14:paraId="2F4BB1BE" w14:textId="64F6CB31" w:rsidR="005B20D5" w:rsidRDefault="007B664D" w:rsidP="005B20D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control over the design, data collection, execution, block, or attrition</w:t>
            </w:r>
          </w:p>
        </w:tc>
      </w:tr>
      <w:tr w:rsidR="005B20D5" w14:paraId="646A4A24" w14:textId="77777777" w:rsidTr="00B56BE1">
        <w:trPr>
          <w:jc w:val="center"/>
        </w:trPr>
        <w:tc>
          <w:tcPr>
            <w:tcW w:w="4752" w:type="dxa"/>
          </w:tcPr>
          <w:p w14:paraId="2B52D72B" w14:textId="22FEFD5C" w:rsidR="005B20D5" w:rsidRDefault="005B20D5" w:rsidP="005B20D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Estimation packages like “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ivreg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” in R give correct standard errors.</w:t>
            </w:r>
          </w:p>
        </w:tc>
        <w:tc>
          <w:tcPr>
            <w:tcW w:w="4742" w:type="dxa"/>
          </w:tcPr>
          <w:p w14:paraId="24156902" w14:textId="03454330" w:rsidR="005B20D5" w:rsidRDefault="007B664D" w:rsidP="005B20D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Might not find a natural experiment on the topic you care about (good natural experiments can be as rare as unicorns)</w:t>
            </w:r>
          </w:p>
        </w:tc>
      </w:tr>
    </w:tbl>
    <w:p w14:paraId="28FADC20" w14:textId="77777777" w:rsidR="005B20D5" w:rsidRPr="00A35FF4" w:rsidRDefault="005B20D5" w:rsidP="005B20D5">
      <w:pPr>
        <w:pStyle w:val="ListParagraph"/>
        <w:spacing w:after="0" w:line="240" w:lineRule="auto"/>
        <w:ind w:left="1296"/>
        <w:rPr>
          <w:rFonts w:ascii="Times New Roman" w:hAnsi="Times New Roman" w:cs="Times New Roman"/>
          <w:sz w:val="18"/>
          <w:szCs w:val="18"/>
        </w:rPr>
      </w:pPr>
    </w:p>
    <w:p w14:paraId="2CA762DA" w14:textId="1A134C7E" w:rsidR="00194C94" w:rsidRDefault="00194C94" w:rsidP="00194C9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External and internal validity</w:t>
      </w:r>
    </w:p>
    <w:p w14:paraId="716A3D89" w14:textId="40C18CD0" w:rsidR="00194C94" w:rsidRDefault="00194C94" w:rsidP="00194C9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C30BB">
        <w:rPr>
          <w:rFonts w:ascii="Times New Roman" w:hAnsi="Times New Roman" w:cs="Times New Roman"/>
          <w:b/>
          <w:bCs/>
          <w:sz w:val="18"/>
          <w:szCs w:val="18"/>
        </w:rPr>
        <w:t>External validity/generalizable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6C30BB">
        <w:rPr>
          <w:rFonts w:ascii="Times New Roman" w:hAnsi="Times New Roman" w:cs="Times New Roman"/>
          <w:sz w:val="18"/>
          <w:szCs w:val="18"/>
          <w:highlight w:val="yellow"/>
        </w:rPr>
        <w:t>whether the results of a study apply to a distinct subject pool</w:t>
      </w:r>
    </w:p>
    <w:p w14:paraId="2F67B577" w14:textId="33B746D0" w:rsidR="00194C94" w:rsidRDefault="00194C94" w:rsidP="00194C9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C30BB">
        <w:rPr>
          <w:rFonts w:ascii="Times New Roman" w:hAnsi="Times New Roman" w:cs="Times New Roman"/>
          <w:b/>
          <w:bCs/>
          <w:sz w:val="18"/>
          <w:szCs w:val="18"/>
        </w:rPr>
        <w:t>Internal validity/valid/unbiased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6C30BB">
        <w:rPr>
          <w:rFonts w:ascii="Times New Roman" w:hAnsi="Times New Roman" w:cs="Times New Roman"/>
          <w:sz w:val="18"/>
          <w:szCs w:val="18"/>
          <w:highlight w:val="yellow"/>
        </w:rPr>
        <w:t>whether the study produces an unbiased estimate of the desired causal effect.</w:t>
      </w:r>
    </w:p>
    <w:p w14:paraId="249E73D3" w14:textId="77777777" w:rsidR="00A44475" w:rsidRDefault="00A44475" w:rsidP="007B664D">
      <w:pPr>
        <w:pStyle w:val="ListParagraph"/>
        <w:spacing w:after="0" w:line="240" w:lineRule="auto"/>
        <w:ind w:left="1296"/>
        <w:rPr>
          <w:rFonts w:ascii="Times New Roman" w:hAnsi="Times New Roman" w:cs="Times New Roman"/>
          <w:sz w:val="18"/>
          <w:szCs w:val="18"/>
        </w:rPr>
      </w:pPr>
    </w:p>
    <w:p w14:paraId="585A4B4F" w14:textId="221EE6E4" w:rsidR="00287118" w:rsidRDefault="00287118" w:rsidP="007B66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115EB">
        <w:rPr>
          <w:rFonts w:ascii="Times New Roman" w:hAnsi="Times New Roman" w:cs="Times New Roman"/>
          <w:b/>
          <w:bCs/>
          <w:sz w:val="18"/>
          <w:szCs w:val="18"/>
        </w:rPr>
        <w:t>Regression Discontinuity</w:t>
      </w:r>
      <w:r w:rsidR="007B664D">
        <w:rPr>
          <w:rFonts w:ascii="Times New Roman" w:hAnsi="Times New Roman" w:cs="Times New Roman"/>
          <w:sz w:val="18"/>
          <w:szCs w:val="18"/>
        </w:rPr>
        <w:t xml:space="preserve">: </w:t>
      </w:r>
      <w:r w:rsidR="007B664D" w:rsidRPr="00CE5649">
        <w:rPr>
          <w:rFonts w:ascii="Times New Roman" w:hAnsi="Times New Roman" w:cs="Times New Roman"/>
          <w:sz w:val="18"/>
          <w:szCs w:val="18"/>
          <w:highlight w:val="yellow"/>
        </w:rPr>
        <w:t>regression slope changes dramatically at a certain day</w:t>
      </w:r>
      <w:r w:rsidR="007B664D">
        <w:rPr>
          <w:rFonts w:ascii="Times New Roman" w:hAnsi="Times New Roman" w:cs="Times New Roman"/>
          <w:sz w:val="18"/>
          <w:szCs w:val="18"/>
        </w:rPr>
        <w:t>.</w:t>
      </w:r>
      <w:r w:rsidR="001910B3">
        <w:rPr>
          <w:rFonts w:ascii="Times New Roman" w:hAnsi="Times New Roman" w:cs="Times New Roman"/>
          <w:sz w:val="18"/>
          <w:szCs w:val="18"/>
        </w:rPr>
        <w:t xml:space="preserve"> </w:t>
      </w:r>
      <w:r w:rsidR="001910B3" w:rsidRPr="00CE5649">
        <w:rPr>
          <w:rFonts w:ascii="Times New Roman" w:hAnsi="Times New Roman" w:cs="Times New Roman"/>
          <w:sz w:val="18"/>
          <w:szCs w:val="18"/>
          <w:highlight w:val="green"/>
        </w:rPr>
        <w:t>Can use a quadratic regression or allow the regression to change slope right at the discontinuity.</w:t>
      </w:r>
      <w:r w:rsidR="009776B3" w:rsidRPr="00CE5649">
        <w:rPr>
          <w:rFonts w:ascii="Times New Roman" w:hAnsi="Times New Roman" w:cs="Times New Roman"/>
          <w:sz w:val="18"/>
          <w:szCs w:val="18"/>
          <w:highlight w:val="green"/>
        </w:rPr>
        <w:t xml:space="preserve"> Care most about the discrete jump in Y at the age of discontinuity.</w:t>
      </w:r>
    </w:p>
    <w:p w14:paraId="71F72F9B" w14:textId="46192D2C" w:rsidR="004F26C3" w:rsidRDefault="004F26C3" w:rsidP="007B664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Types of regression discontinuity</w:t>
      </w:r>
    </w:p>
    <w:p w14:paraId="12EBC47F" w14:textId="49FFCE83" w:rsidR="004F26C3" w:rsidRDefault="004F26C3" w:rsidP="004F26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115EB">
        <w:rPr>
          <w:rFonts w:ascii="Times New Roman" w:hAnsi="Times New Roman" w:cs="Times New Roman"/>
          <w:b/>
          <w:bCs/>
          <w:sz w:val="18"/>
          <w:szCs w:val="18"/>
        </w:rPr>
        <w:t>Parametric regression discontinuity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CE5649">
        <w:rPr>
          <w:rFonts w:ascii="Times New Roman" w:hAnsi="Times New Roman" w:cs="Times New Roman"/>
          <w:sz w:val="18"/>
          <w:szCs w:val="18"/>
          <w:highlight w:val="yellow"/>
        </w:rPr>
        <w:t>we estimate regression lines or curves and have a shift due to the treatment dummy variable</w:t>
      </w:r>
    </w:p>
    <w:p w14:paraId="75A25EFD" w14:textId="7C27DDBF" w:rsidR="004F26C3" w:rsidRDefault="004F26C3" w:rsidP="004F26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115EB">
        <w:rPr>
          <w:rFonts w:ascii="Times New Roman" w:hAnsi="Times New Roman" w:cs="Times New Roman"/>
          <w:b/>
          <w:bCs/>
          <w:sz w:val="18"/>
          <w:szCs w:val="18"/>
        </w:rPr>
        <w:t>Nonparametric regression discontinuity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CE5649">
        <w:rPr>
          <w:rFonts w:ascii="Times New Roman" w:hAnsi="Times New Roman" w:cs="Times New Roman"/>
          <w:sz w:val="18"/>
          <w:szCs w:val="18"/>
          <w:highlight w:val="yellow"/>
        </w:rPr>
        <w:t>we avoid assuming some parametric form, in case that might introduce specification error. Instead, we look at the simple change in Y in a narrow window around the threshold</w:t>
      </w:r>
    </w:p>
    <w:p w14:paraId="2072DB07" w14:textId="5FEE3D76" w:rsidR="004F26C3" w:rsidRDefault="004F26C3" w:rsidP="00AE1185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115EB">
        <w:rPr>
          <w:rFonts w:ascii="Times New Roman" w:hAnsi="Times New Roman" w:cs="Times New Roman"/>
          <w:b/>
          <w:bCs/>
          <w:sz w:val="18"/>
          <w:szCs w:val="18"/>
        </w:rPr>
        <w:t>Bandwidth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CE5649">
        <w:rPr>
          <w:rFonts w:ascii="Times New Roman" w:hAnsi="Times New Roman" w:cs="Times New Roman"/>
          <w:sz w:val="18"/>
          <w:szCs w:val="18"/>
          <w:highlight w:val="yellow"/>
        </w:rPr>
        <w:t>width of this window</w:t>
      </w:r>
      <w:r w:rsidR="00E64F51">
        <w:rPr>
          <w:rFonts w:ascii="Times New Roman" w:hAnsi="Times New Roman" w:cs="Times New Roman"/>
          <w:sz w:val="18"/>
          <w:szCs w:val="18"/>
        </w:rPr>
        <w:t xml:space="preserve">. </w:t>
      </w:r>
      <w:r w:rsidR="005D1DA7">
        <w:rPr>
          <w:rFonts w:ascii="Times New Roman" w:hAnsi="Times New Roman" w:cs="Times New Roman"/>
          <w:sz w:val="18"/>
          <w:szCs w:val="18"/>
        </w:rPr>
        <w:t xml:space="preserve">Results are not very sensitive to the </w:t>
      </w:r>
      <w:r w:rsidR="00364034">
        <w:rPr>
          <w:rFonts w:ascii="Times New Roman" w:hAnsi="Times New Roman" w:cs="Times New Roman"/>
          <w:sz w:val="18"/>
          <w:szCs w:val="18"/>
        </w:rPr>
        <w:t>width</w:t>
      </w:r>
      <w:r w:rsidR="005D1DA7">
        <w:rPr>
          <w:rFonts w:ascii="Times New Roman" w:hAnsi="Times New Roman" w:cs="Times New Roman"/>
          <w:sz w:val="18"/>
          <w:szCs w:val="18"/>
        </w:rPr>
        <w:t xml:space="preserve"> of window. </w:t>
      </w:r>
      <w:r w:rsidR="00E64F51" w:rsidRPr="00CE5649">
        <w:rPr>
          <w:rFonts w:ascii="Times New Roman" w:hAnsi="Times New Roman" w:cs="Times New Roman"/>
          <w:sz w:val="18"/>
          <w:szCs w:val="18"/>
          <w:highlight w:val="green"/>
        </w:rPr>
        <w:t>A narrow bandwidth gives a much cleaner regression discontinuity</w:t>
      </w:r>
      <w:r w:rsidR="00E64F51">
        <w:rPr>
          <w:rFonts w:ascii="Times New Roman" w:hAnsi="Times New Roman" w:cs="Times New Roman"/>
          <w:sz w:val="18"/>
          <w:szCs w:val="18"/>
        </w:rPr>
        <w:t xml:space="preserve"> (we think all other things are equal on both sides of the threshold) but cuts down on the amount of data, which </w:t>
      </w:r>
      <w:r w:rsidR="00E64F51" w:rsidRPr="00CE5649">
        <w:rPr>
          <w:rFonts w:ascii="Times New Roman" w:hAnsi="Times New Roman" w:cs="Times New Roman"/>
          <w:sz w:val="18"/>
          <w:szCs w:val="18"/>
          <w:highlight w:val="green"/>
        </w:rPr>
        <w:t>decreases precision</w:t>
      </w:r>
      <w:r w:rsidR="00E64F51">
        <w:rPr>
          <w:rFonts w:ascii="Times New Roman" w:hAnsi="Times New Roman" w:cs="Times New Roman"/>
          <w:sz w:val="18"/>
          <w:szCs w:val="18"/>
        </w:rPr>
        <w:t>.</w:t>
      </w:r>
    </w:p>
    <w:p w14:paraId="1BC42F40" w14:textId="49608B85" w:rsidR="00287118" w:rsidRDefault="00287118" w:rsidP="007B664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Strengths and Weaknesses of Regression Discontinuity Designs</w:t>
      </w:r>
    </w:p>
    <w:p w14:paraId="7EBF9888" w14:textId="445EB0CB" w:rsidR="00825FED" w:rsidRDefault="00825FED" w:rsidP="00825FE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“Sorting” at </w:t>
      </w:r>
      <w:proofErr w:type="spellStart"/>
      <w:r>
        <w:rPr>
          <w:rFonts w:ascii="Times New Roman" w:hAnsi="Times New Roman" w:cs="Times New Roman"/>
          <w:sz w:val="18"/>
          <w:szCs w:val="18"/>
        </w:rPr>
        <w:t>cutpoint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193A3E57" w14:textId="49635D4E" w:rsidR="00825FED" w:rsidRDefault="00825FED" w:rsidP="00825FED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ante/before, people are aware of the threshold and can try to get above it. In p</w:t>
      </w:r>
      <w:r w:rsidRPr="00825FED">
        <w:rPr>
          <w:rFonts w:ascii="Times New Roman" w:hAnsi="Times New Roman" w:cs="Times New Roman"/>
          <w:sz w:val="18"/>
          <w:szCs w:val="18"/>
        </w:rPr>
        <w:t>ost</w:t>
      </w:r>
      <w:r>
        <w:rPr>
          <w:rFonts w:ascii="Times New Roman" w:hAnsi="Times New Roman" w:cs="Times New Roman"/>
          <w:sz w:val="18"/>
          <w:szCs w:val="18"/>
        </w:rPr>
        <w:t>/after, there is manipulation which</w:t>
      </w:r>
      <w:r w:rsidRPr="00825FED">
        <w:rPr>
          <w:rFonts w:ascii="Times New Roman" w:hAnsi="Times New Roman" w:cs="Times New Roman"/>
          <w:sz w:val="18"/>
          <w:szCs w:val="18"/>
        </w:rPr>
        <w:t xml:space="preserve"> make</w:t>
      </w:r>
      <w:r>
        <w:rPr>
          <w:rFonts w:ascii="Times New Roman" w:hAnsi="Times New Roman" w:cs="Times New Roman"/>
          <w:sz w:val="18"/>
          <w:szCs w:val="18"/>
        </w:rPr>
        <w:t>s</w:t>
      </w:r>
      <w:r w:rsidRPr="00825FED">
        <w:rPr>
          <w:rFonts w:ascii="Times New Roman" w:hAnsi="Times New Roman" w:cs="Times New Roman"/>
          <w:sz w:val="18"/>
          <w:szCs w:val="18"/>
        </w:rPr>
        <w:t xml:space="preserve"> analysis difficult </w:t>
      </w:r>
      <w:r>
        <w:rPr>
          <w:rFonts w:ascii="Times New Roman" w:hAnsi="Times New Roman" w:cs="Times New Roman"/>
          <w:sz w:val="18"/>
          <w:szCs w:val="18"/>
        </w:rPr>
        <w:t xml:space="preserve">(e.g., </w:t>
      </w:r>
      <w:r w:rsidRPr="00825FED">
        <w:rPr>
          <w:rFonts w:ascii="Times New Roman" w:hAnsi="Times New Roman" w:cs="Times New Roman"/>
          <w:sz w:val="18"/>
          <w:szCs w:val="18"/>
        </w:rPr>
        <w:t>say “just loss” instead of “just w</w:t>
      </w:r>
      <w:r>
        <w:rPr>
          <w:rFonts w:ascii="Times New Roman" w:hAnsi="Times New Roman" w:cs="Times New Roman"/>
          <w:sz w:val="18"/>
          <w:szCs w:val="18"/>
        </w:rPr>
        <w:t>o</w:t>
      </w:r>
      <w:r w:rsidRPr="00825FED">
        <w:rPr>
          <w:rFonts w:ascii="Times New Roman" w:hAnsi="Times New Roman" w:cs="Times New Roman"/>
          <w:sz w:val="18"/>
          <w:szCs w:val="18"/>
        </w:rPr>
        <w:t>n”)</w:t>
      </w:r>
    </w:p>
    <w:p w14:paraId="03FF5487" w14:textId="32613C29" w:rsidR="00825FED" w:rsidRDefault="00825FED" w:rsidP="00825FED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Tests for sorting</w:t>
      </w:r>
    </w:p>
    <w:p w14:paraId="574DC0FE" w14:textId="7F00009C" w:rsidR="00825FED" w:rsidRDefault="00825FED" w:rsidP="00825FED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Covariate balance on either side of cut point.</w:t>
      </w:r>
    </w:p>
    <w:p w14:paraId="75E794EE" w14:textId="63A05C79" w:rsidR="0083342F" w:rsidRDefault="00825FED" w:rsidP="00825FED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Smoothness (McCrary test)</w:t>
      </w:r>
    </w:p>
    <w:p w14:paraId="1A088552" w14:textId="53115E40" w:rsidR="00BE3ABB" w:rsidRDefault="00BE3ABB" w:rsidP="00825FED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Check for proportion of observations in running variable</w:t>
      </w:r>
    </w:p>
    <w:p w14:paraId="5C59A926" w14:textId="23FA9AA9" w:rsidR="00BE3ABB" w:rsidRDefault="00BE3ABB" w:rsidP="00825FED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Passage of regression discontinuity check doesn’t guarantee assumptions hold</w:t>
      </w:r>
    </w:p>
    <w:p w14:paraId="25910CF8" w14:textId="77777777" w:rsidR="00BE3ABB" w:rsidRDefault="00BE3ABB" w:rsidP="00BE3ABB">
      <w:pPr>
        <w:pStyle w:val="ListParagraph"/>
        <w:spacing w:after="0" w:line="240" w:lineRule="auto"/>
        <w:ind w:left="432"/>
        <w:rPr>
          <w:rFonts w:ascii="Times New Roman" w:hAnsi="Times New Roman" w:cs="Times New Roman"/>
          <w:sz w:val="18"/>
          <w:szCs w:val="18"/>
        </w:rPr>
      </w:pPr>
    </w:p>
    <w:p w14:paraId="1A9E60B2" w14:textId="55D3D6AE" w:rsidR="00287118" w:rsidRDefault="00287118" w:rsidP="00BE3A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Differences in Differences</w:t>
      </w:r>
      <w:r w:rsidR="006C51FF">
        <w:rPr>
          <w:rFonts w:ascii="Times New Roman" w:hAnsi="Times New Roman" w:cs="Times New Roman"/>
          <w:sz w:val="18"/>
          <w:szCs w:val="18"/>
        </w:rPr>
        <w:t>: technique used when a natural experiment takes place over time, in a before-after setting, and when we don’t have a randomized control group. We have a group that is similar to the treated group, but not guaranteed to be identical.</w:t>
      </w:r>
      <w:r w:rsidR="00156A3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577E9C6" w14:textId="49871AA5" w:rsidR="00287118" w:rsidRDefault="00287118" w:rsidP="00BE3A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DID Regressions</w:t>
      </w:r>
      <w:r w:rsidR="00515CF0">
        <w:rPr>
          <w:rFonts w:ascii="Times New Roman" w:hAnsi="Times New Roman" w:cs="Times New Roman"/>
          <w:sz w:val="18"/>
          <w:szCs w:val="18"/>
        </w:rPr>
        <w:t>: Subtract the before-after difference in the treatment group from the before-after difference in the pseudo-control group.</w:t>
      </w:r>
    </w:p>
    <w:p w14:paraId="412F2CB0" w14:textId="49D228D1" w:rsidR="00515CF0" w:rsidRDefault="00515CF0" w:rsidP="00515CF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Need to satisfy the “common trends” assumption.</w:t>
      </w:r>
    </w:p>
    <w:p w14:paraId="0BFA21B2" w14:textId="3798A482" w:rsidR="00287118" w:rsidRDefault="00287118" w:rsidP="00BE3A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Strengths and Weaknesses of DID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2"/>
        <w:gridCol w:w="4742"/>
      </w:tblGrid>
      <w:tr w:rsidR="006D48BA" w14:paraId="7E4365E8" w14:textId="77777777" w:rsidTr="00116C31">
        <w:trPr>
          <w:jc w:val="center"/>
        </w:trPr>
        <w:tc>
          <w:tcPr>
            <w:tcW w:w="4752" w:type="dxa"/>
            <w:shd w:val="clear" w:color="auto" w:fill="E7E6E6" w:themeFill="background2"/>
          </w:tcPr>
          <w:p w14:paraId="76FFC6CF" w14:textId="765FC73D" w:rsidR="006D48BA" w:rsidRPr="00B56BE1" w:rsidRDefault="006D48BA" w:rsidP="00116C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Strengths</w:t>
            </w:r>
          </w:p>
        </w:tc>
        <w:tc>
          <w:tcPr>
            <w:tcW w:w="4742" w:type="dxa"/>
            <w:shd w:val="clear" w:color="auto" w:fill="E7E6E6" w:themeFill="background2"/>
          </w:tcPr>
          <w:p w14:paraId="4D7AE22B" w14:textId="1C5C8E1C" w:rsidR="006D48BA" w:rsidRPr="00B56BE1" w:rsidRDefault="006D48BA" w:rsidP="00116C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Weaknesses</w:t>
            </w:r>
          </w:p>
        </w:tc>
      </w:tr>
      <w:tr w:rsidR="006D48BA" w14:paraId="30CE4833" w14:textId="77777777" w:rsidTr="00116C31">
        <w:trPr>
          <w:jc w:val="center"/>
        </w:trPr>
        <w:tc>
          <w:tcPr>
            <w:tcW w:w="4752" w:type="dxa"/>
          </w:tcPr>
          <w:p w14:paraId="7AA970C3" w14:textId="47ECEC3C" w:rsidR="006D48BA" w:rsidRDefault="006D48BA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Simple tool: compute differences directly or do OLS regression with clustered standard errors</w:t>
            </w:r>
          </w:p>
        </w:tc>
        <w:tc>
          <w:tcPr>
            <w:tcW w:w="4742" w:type="dxa"/>
          </w:tcPr>
          <w:p w14:paraId="5157CFDE" w14:textId="7638F1AF" w:rsidR="006D48BA" w:rsidRDefault="006D48BA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Causal inference hinges on assignment mechanism</w:t>
            </w:r>
          </w:p>
        </w:tc>
      </w:tr>
      <w:tr w:rsidR="006D48BA" w14:paraId="66EEA1F9" w14:textId="77777777" w:rsidTr="00116C31">
        <w:trPr>
          <w:jc w:val="center"/>
        </w:trPr>
        <w:tc>
          <w:tcPr>
            <w:tcW w:w="4752" w:type="dxa"/>
          </w:tcPr>
          <w:p w14:paraId="74B48A1E" w14:textId="266B3916" w:rsidR="006D48BA" w:rsidRDefault="006D48BA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If we have covariates that might predict differences in Y, we can include them to try to improve precision</w:t>
            </w:r>
          </w:p>
        </w:tc>
        <w:tc>
          <w:tcPr>
            <w:tcW w:w="4742" w:type="dxa"/>
          </w:tcPr>
          <w:p w14:paraId="4D238693" w14:textId="4EBC469F" w:rsidR="006D48BA" w:rsidRDefault="006D48BA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Common/parallel trends assumption is a strong assumption</w:t>
            </w:r>
          </w:p>
        </w:tc>
      </w:tr>
      <w:tr w:rsidR="006D48BA" w14:paraId="695ECA93" w14:textId="77777777" w:rsidTr="00116C31">
        <w:trPr>
          <w:jc w:val="center"/>
        </w:trPr>
        <w:tc>
          <w:tcPr>
            <w:tcW w:w="4752" w:type="dxa"/>
          </w:tcPr>
          <w:p w14:paraId="6BC8AEDD" w14:textId="71B05073" w:rsidR="006D48BA" w:rsidRDefault="006D48BA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Causal effects are much stronger and more believable than with the simple before/after differences or simple differences across non-randomized comparison groups</w:t>
            </w:r>
          </w:p>
        </w:tc>
        <w:tc>
          <w:tcPr>
            <w:tcW w:w="4742" w:type="dxa"/>
          </w:tcPr>
          <w:p w14:paraId="0CE93339" w14:textId="16306552" w:rsidR="006D48BA" w:rsidRDefault="006D48BA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5EBED69" w14:textId="77777777" w:rsidR="006D48BA" w:rsidRDefault="006D48BA" w:rsidP="006D48BA">
      <w:pPr>
        <w:pStyle w:val="ListParagraph"/>
        <w:spacing w:after="0" w:line="240" w:lineRule="auto"/>
        <w:ind w:left="864"/>
        <w:rPr>
          <w:rFonts w:ascii="Times New Roman" w:hAnsi="Times New Roman" w:cs="Times New Roman"/>
          <w:sz w:val="18"/>
          <w:szCs w:val="18"/>
        </w:rPr>
      </w:pPr>
    </w:p>
    <w:p w14:paraId="75E2D4D5" w14:textId="7BD2F638" w:rsidR="00287118" w:rsidRDefault="00287118" w:rsidP="00BE3A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Synthetic Controls as Generalized Difference in Differences</w:t>
      </w:r>
      <w:r w:rsidR="00CD2173">
        <w:rPr>
          <w:rFonts w:ascii="Times New Roman" w:hAnsi="Times New Roman" w:cs="Times New Roman"/>
          <w:sz w:val="18"/>
          <w:szCs w:val="18"/>
        </w:rPr>
        <w:t>. Synthetic control attempts to use relatively simple ML framework to create untreated units that are similar to treated units.</w:t>
      </w:r>
      <w:r w:rsidR="00736EF9">
        <w:rPr>
          <w:rFonts w:ascii="Times New Roman" w:hAnsi="Times New Roman" w:cs="Times New Roman"/>
          <w:sz w:val="18"/>
          <w:szCs w:val="18"/>
        </w:rPr>
        <w:t xml:space="preserve"> Weight other units so that it would look more similar to the treated unit.</w:t>
      </w:r>
    </w:p>
    <w:p w14:paraId="673CCE88" w14:textId="690F0EA0" w:rsidR="00E64F4D" w:rsidRDefault="00E64F4D" w:rsidP="00E64F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Learn a set of weights of untreated units that produce a close approximation to pre-treatment outcomes of the treated unit. Fix those weights, and then make predictions into the post-treatment time period.</w:t>
      </w:r>
    </w:p>
    <w:p w14:paraId="01B10F35" w14:textId="473465FA" w:rsidR="00505C9E" w:rsidRDefault="00505C9E" w:rsidP="00E64F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There are many weightings that can produce pre-treatment similarly. Use a reasoning system similar to randomization inference to choose the right weighting scheme. Compute many possible counterfactuals, and evaluate how many are more extreme than what is observed.</w:t>
      </w:r>
    </w:p>
    <w:p w14:paraId="40390388" w14:textId="540F2580" w:rsidR="0046187E" w:rsidRDefault="0046187E" w:rsidP="00E64F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Limitations of synthetic controls</w:t>
      </w:r>
    </w:p>
    <w:p w14:paraId="641E8699" w14:textId="79D8A249" w:rsidR="0046187E" w:rsidRDefault="0046187E" w:rsidP="0046187E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Do not solve the possibility of a lingering confounder</w:t>
      </w:r>
    </w:p>
    <w:p w14:paraId="06D6B200" w14:textId="4948E030" w:rsidR="0046187E" w:rsidRDefault="0046187E" w:rsidP="0046187E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Like credit default options</w:t>
      </w:r>
    </w:p>
    <w:p w14:paraId="0BCD618A" w14:textId="70BB9357" w:rsidR="0046187E" w:rsidRDefault="0046187E" w:rsidP="00BE567F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there is nothing systematically leading control units to be different than treatment, then we’re creating a composite counterfactual that manages confounding risk</w:t>
      </w:r>
    </w:p>
    <w:p w14:paraId="671052D6" w14:textId="43D22F2B" w:rsidR="0046187E" w:rsidRDefault="0046187E" w:rsidP="00BE567F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there is something systematically leading controls to be different, then we’re in trouble.</w:t>
      </w:r>
    </w:p>
    <w:p w14:paraId="71684BE1" w14:textId="188503B2" w:rsidR="00F10292" w:rsidRDefault="00F10292" w:rsidP="00F1029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Limited to the matching algorithms capabilities.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2"/>
        <w:gridCol w:w="4742"/>
      </w:tblGrid>
      <w:tr w:rsidR="00105165" w14:paraId="4D27A009" w14:textId="77777777" w:rsidTr="00116C31">
        <w:trPr>
          <w:jc w:val="center"/>
        </w:trPr>
        <w:tc>
          <w:tcPr>
            <w:tcW w:w="4752" w:type="dxa"/>
            <w:shd w:val="clear" w:color="auto" w:fill="E7E6E6" w:themeFill="background2"/>
          </w:tcPr>
          <w:p w14:paraId="03ED31FF" w14:textId="77777777" w:rsidR="00105165" w:rsidRPr="00B56BE1" w:rsidRDefault="00105165" w:rsidP="00116C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Strengths</w:t>
            </w:r>
          </w:p>
        </w:tc>
        <w:tc>
          <w:tcPr>
            <w:tcW w:w="4742" w:type="dxa"/>
            <w:shd w:val="clear" w:color="auto" w:fill="E7E6E6" w:themeFill="background2"/>
          </w:tcPr>
          <w:p w14:paraId="3DA3BA1C" w14:textId="77777777" w:rsidR="00105165" w:rsidRPr="00B56BE1" w:rsidRDefault="00105165" w:rsidP="00116C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Weaknesses</w:t>
            </w:r>
          </w:p>
        </w:tc>
      </w:tr>
      <w:tr w:rsidR="00105165" w14:paraId="04EB1F23" w14:textId="77777777" w:rsidTr="00116C31">
        <w:trPr>
          <w:jc w:val="center"/>
        </w:trPr>
        <w:tc>
          <w:tcPr>
            <w:tcW w:w="4752" w:type="dxa"/>
          </w:tcPr>
          <w:p w14:paraId="04334746" w14:textId="0941B6D8" w:rsidR="00105165" w:rsidRDefault="00105165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closer to parallel trends assumption in the pre-treatment time period</w:t>
            </w:r>
          </w:p>
        </w:tc>
        <w:tc>
          <w:tcPr>
            <w:tcW w:w="4742" w:type="dxa"/>
          </w:tcPr>
          <w:p w14:paraId="3E41FF47" w14:textId="53BE2332" w:rsidR="00105165" w:rsidRDefault="00105165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Method of finding weights overfits to sample data. This is controllable but must be consciously done</w:t>
            </w:r>
          </w:p>
        </w:tc>
      </w:tr>
      <w:tr w:rsidR="00105165" w14:paraId="5BD32AB5" w14:textId="77777777" w:rsidTr="00116C31">
        <w:trPr>
          <w:jc w:val="center"/>
        </w:trPr>
        <w:tc>
          <w:tcPr>
            <w:tcW w:w="4752" w:type="dxa"/>
          </w:tcPr>
          <w:p w14:paraId="4B163B1C" w14:textId="2E2751D9" w:rsidR="00105165" w:rsidRDefault="00105165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Follows a strategy that is familiar from machine learning based approaches</w:t>
            </w:r>
          </w:p>
        </w:tc>
        <w:tc>
          <w:tcPr>
            <w:tcW w:w="4742" w:type="dxa"/>
          </w:tcPr>
          <w:p w14:paraId="2EE68042" w14:textId="749E0B7C" w:rsidR="00105165" w:rsidRDefault="00105165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Possible confounding variables remain</w:t>
            </w:r>
          </w:p>
        </w:tc>
      </w:tr>
      <w:tr w:rsidR="00105165" w14:paraId="1FD7D4FB" w14:textId="77777777" w:rsidTr="00116C31">
        <w:trPr>
          <w:jc w:val="center"/>
        </w:trPr>
        <w:tc>
          <w:tcPr>
            <w:tcW w:w="4752" w:type="dxa"/>
          </w:tcPr>
          <w:p w14:paraId="4F1A4D93" w14:textId="2F3A7F4F" w:rsidR="00105165" w:rsidRDefault="00105165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42" w:type="dxa"/>
          </w:tcPr>
          <w:p w14:paraId="3F1EE8DA" w14:textId="1D1D039A" w:rsidR="00105165" w:rsidRDefault="00105165" w:rsidP="00116C31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clear statement about who we are comparing to whom, and why</w:t>
            </w:r>
          </w:p>
        </w:tc>
      </w:tr>
    </w:tbl>
    <w:p w14:paraId="217E436B" w14:textId="77777777" w:rsidR="00105165" w:rsidRPr="00211BD0" w:rsidRDefault="00105165" w:rsidP="00105165">
      <w:pPr>
        <w:pStyle w:val="ListParagraph"/>
        <w:spacing w:after="0" w:line="240" w:lineRule="auto"/>
        <w:ind w:left="1296"/>
        <w:rPr>
          <w:rFonts w:ascii="Times New Roman" w:hAnsi="Times New Roman" w:cs="Times New Roman"/>
          <w:sz w:val="18"/>
          <w:szCs w:val="18"/>
        </w:rPr>
      </w:pPr>
    </w:p>
    <w:sectPr w:rsidR="00105165" w:rsidRPr="00211BD0" w:rsidSect="005D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9E"/>
    <w:multiLevelType w:val="multilevel"/>
    <w:tmpl w:val="EA623D44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sz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ind w:left="1296" w:hanging="432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Roman"/>
      <w:lvlText w:val="%5."/>
      <w:lvlJc w:val="left"/>
      <w:pPr>
        <w:ind w:left="2160" w:hanging="432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bullet"/>
      <w:lvlText w:val=""/>
      <w:lvlJc w:val="left"/>
      <w:pPr>
        <w:ind w:left="2592" w:hanging="432"/>
      </w:pPr>
      <w:rPr>
        <w:rFonts w:ascii="Symbol" w:hAnsi="Symbol" w:hint="default"/>
        <w:b w:val="0"/>
        <w:i w:val="0"/>
        <w:color w:val="auto"/>
        <w:sz w:val="18"/>
      </w:rPr>
    </w:lvl>
    <w:lvl w:ilvl="6">
      <w:start w:val="1"/>
      <w:numFmt w:val="none"/>
      <w:lvlText w:val="-   "/>
      <w:lvlJc w:val="left"/>
      <w:pPr>
        <w:tabs>
          <w:tab w:val="num" w:pos="2592"/>
        </w:tabs>
        <w:ind w:left="3024" w:hanging="432"/>
      </w:pPr>
      <w:rPr>
        <w:rFonts w:ascii="Times New Roman" w:hAnsi="Times New Roman" w:hint="default"/>
        <w:b w:val="0"/>
        <w:i w:val="0"/>
        <w:sz w:val="18"/>
      </w:rPr>
    </w:lvl>
    <w:lvl w:ilvl="7">
      <w:start w:val="1"/>
      <w:numFmt w:val="none"/>
      <w:lvlText w:val="-- "/>
      <w:lvlJc w:val="left"/>
      <w:pPr>
        <w:tabs>
          <w:tab w:val="num" w:pos="3024"/>
        </w:tabs>
        <w:ind w:left="3456" w:hanging="432"/>
      </w:pPr>
      <w:rPr>
        <w:rFonts w:ascii="Times New Roman" w:hAnsi="Times New Roman" w:hint="default"/>
        <w:b w:val="0"/>
        <w:i w:val="0"/>
        <w:sz w:val="18"/>
      </w:rPr>
    </w:lvl>
    <w:lvl w:ilvl="8">
      <w:start w:val="1"/>
      <w:numFmt w:val="none"/>
      <w:lvlText w:val="---"/>
      <w:lvlJc w:val="left"/>
      <w:pPr>
        <w:ind w:left="3888" w:hanging="432"/>
      </w:pPr>
      <w:rPr>
        <w:rFonts w:ascii="Times New Roman" w:hAnsi="Times New Roman" w:hint="default"/>
        <w:b w:val="0"/>
        <w:i w:val="0"/>
        <w:sz w:val="18"/>
      </w:rPr>
    </w:lvl>
  </w:abstractNum>
  <w:num w:numId="1" w16cid:durableId="16630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8"/>
    <w:rsid w:val="00024A86"/>
    <w:rsid w:val="0003462A"/>
    <w:rsid w:val="00035CFD"/>
    <w:rsid w:val="0005277B"/>
    <w:rsid w:val="000577A8"/>
    <w:rsid w:val="00060CD3"/>
    <w:rsid w:val="00081D83"/>
    <w:rsid w:val="000843B6"/>
    <w:rsid w:val="000D3803"/>
    <w:rsid w:val="000F028F"/>
    <w:rsid w:val="000F150D"/>
    <w:rsid w:val="000F5ECA"/>
    <w:rsid w:val="000F6047"/>
    <w:rsid w:val="00103037"/>
    <w:rsid w:val="00104D4B"/>
    <w:rsid w:val="00105165"/>
    <w:rsid w:val="00111E4B"/>
    <w:rsid w:val="00116B62"/>
    <w:rsid w:val="00117209"/>
    <w:rsid w:val="00117323"/>
    <w:rsid w:val="00120427"/>
    <w:rsid w:val="00121D3A"/>
    <w:rsid w:val="0013017A"/>
    <w:rsid w:val="00134580"/>
    <w:rsid w:val="001406F0"/>
    <w:rsid w:val="00156A3F"/>
    <w:rsid w:val="00160AC7"/>
    <w:rsid w:val="00161C4D"/>
    <w:rsid w:val="00164F0D"/>
    <w:rsid w:val="00165E56"/>
    <w:rsid w:val="0017020B"/>
    <w:rsid w:val="001737E3"/>
    <w:rsid w:val="001910B3"/>
    <w:rsid w:val="00194C94"/>
    <w:rsid w:val="00197B90"/>
    <w:rsid w:val="001A2305"/>
    <w:rsid w:val="001A7198"/>
    <w:rsid w:val="001B0867"/>
    <w:rsid w:val="001B0A12"/>
    <w:rsid w:val="001B257F"/>
    <w:rsid w:val="001C71C4"/>
    <w:rsid w:val="001D0D9A"/>
    <w:rsid w:val="001D3C17"/>
    <w:rsid w:val="001E32EF"/>
    <w:rsid w:val="001E33C0"/>
    <w:rsid w:val="001E52B3"/>
    <w:rsid w:val="00206EDA"/>
    <w:rsid w:val="002103D9"/>
    <w:rsid w:val="00211BD0"/>
    <w:rsid w:val="00225A56"/>
    <w:rsid w:val="00227F74"/>
    <w:rsid w:val="00232C7F"/>
    <w:rsid w:val="0023583E"/>
    <w:rsid w:val="00236E60"/>
    <w:rsid w:val="00244ED2"/>
    <w:rsid w:val="00250A54"/>
    <w:rsid w:val="00254CF5"/>
    <w:rsid w:val="00256F19"/>
    <w:rsid w:val="00260CE8"/>
    <w:rsid w:val="00272E81"/>
    <w:rsid w:val="002769FC"/>
    <w:rsid w:val="0027746A"/>
    <w:rsid w:val="00287118"/>
    <w:rsid w:val="00292395"/>
    <w:rsid w:val="002A146B"/>
    <w:rsid w:val="002A672D"/>
    <w:rsid w:val="002D7B80"/>
    <w:rsid w:val="00302F41"/>
    <w:rsid w:val="003047D5"/>
    <w:rsid w:val="00305F44"/>
    <w:rsid w:val="003060E4"/>
    <w:rsid w:val="00315935"/>
    <w:rsid w:val="0031786D"/>
    <w:rsid w:val="00322029"/>
    <w:rsid w:val="00331FB1"/>
    <w:rsid w:val="003324C8"/>
    <w:rsid w:val="00335355"/>
    <w:rsid w:val="00337E81"/>
    <w:rsid w:val="00357EDA"/>
    <w:rsid w:val="00364034"/>
    <w:rsid w:val="003641EE"/>
    <w:rsid w:val="0037753E"/>
    <w:rsid w:val="00387869"/>
    <w:rsid w:val="00390EC5"/>
    <w:rsid w:val="003A65DA"/>
    <w:rsid w:val="003B059D"/>
    <w:rsid w:val="003B1639"/>
    <w:rsid w:val="003B19A0"/>
    <w:rsid w:val="003E25C8"/>
    <w:rsid w:val="003E6A0B"/>
    <w:rsid w:val="003F0D67"/>
    <w:rsid w:val="003F6E09"/>
    <w:rsid w:val="003F7461"/>
    <w:rsid w:val="00401DE9"/>
    <w:rsid w:val="004106EE"/>
    <w:rsid w:val="00417464"/>
    <w:rsid w:val="00417B06"/>
    <w:rsid w:val="00423325"/>
    <w:rsid w:val="004278E6"/>
    <w:rsid w:val="0043730F"/>
    <w:rsid w:val="00437348"/>
    <w:rsid w:val="00453359"/>
    <w:rsid w:val="0046187E"/>
    <w:rsid w:val="00467D44"/>
    <w:rsid w:val="00467EB7"/>
    <w:rsid w:val="00483E81"/>
    <w:rsid w:val="004A6CE4"/>
    <w:rsid w:val="004B2B73"/>
    <w:rsid w:val="004B3D16"/>
    <w:rsid w:val="004B6022"/>
    <w:rsid w:val="004C30D3"/>
    <w:rsid w:val="004D42BC"/>
    <w:rsid w:val="004E4C78"/>
    <w:rsid w:val="004E4CA8"/>
    <w:rsid w:val="004E5F82"/>
    <w:rsid w:val="004E6AAA"/>
    <w:rsid w:val="004E7DCD"/>
    <w:rsid w:val="004F26C3"/>
    <w:rsid w:val="004F3D3C"/>
    <w:rsid w:val="004F3E56"/>
    <w:rsid w:val="00505C9E"/>
    <w:rsid w:val="0051197B"/>
    <w:rsid w:val="00515CF0"/>
    <w:rsid w:val="00520224"/>
    <w:rsid w:val="0052267A"/>
    <w:rsid w:val="00532723"/>
    <w:rsid w:val="00543F05"/>
    <w:rsid w:val="005470D9"/>
    <w:rsid w:val="005538AC"/>
    <w:rsid w:val="00556B96"/>
    <w:rsid w:val="00556CFA"/>
    <w:rsid w:val="005728BF"/>
    <w:rsid w:val="00573663"/>
    <w:rsid w:val="00573B3C"/>
    <w:rsid w:val="0057463A"/>
    <w:rsid w:val="00575514"/>
    <w:rsid w:val="005A1EAD"/>
    <w:rsid w:val="005A43D8"/>
    <w:rsid w:val="005B20D5"/>
    <w:rsid w:val="005B3576"/>
    <w:rsid w:val="005B3919"/>
    <w:rsid w:val="005B3923"/>
    <w:rsid w:val="005B403B"/>
    <w:rsid w:val="005C0692"/>
    <w:rsid w:val="005C6865"/>
    <w:rsid w:val="005D1DA7"/>
    <w:rsid w:val="005D43F8"/>
    <w:rsid w:val="005F3E3C"/>
    <w:rsid w:val="005F4A44"/>
    <w:rsid w:val="006133BA"/>
    <w:rsid w:val="0061378E"/>
    <w:rsid w:val="006161E0"/>
    <w:rsid w:val="0063594C"/>
    <w:rsid w:val="00643E50"/>
    <w:rsid w:val="00647FBF"/>
    <w:rsid w:val="00653B19"/>
    <w:rsid w:val="00653BA0"/>
    <w:rsid w:val="0068169A"/>
    <w:rsid w:val="0069044B"/>
    <w:rsid w:val="006A4B18"/>
    <w:rsid w:val="006A7E7D"/>
    <w:rsid w:val="006B625C"/>
    <w:rsid w:val="006B722B"/>
    <w:rsid w:val="006B76D3"/>
    <w:rsid w:val="006C29D5"/>
    <w:rsid w:val="006C30BB"/>
    <w:rsid w:val="006C50EF"/>
    <w:rsid w:val="006C51FF"/>
    <w:rsid w:val="006D2079"/>
    <w:rsid w:val="006D3269"/>
    <w:rsid w:val="006D48BA"/>
    <w:rsid w:val="006D578E"/>
    <w:rsid w:val="006E28F3"/>
    <w:rsid w:val="007041A8"/>
    <w:rsid w:val="00705635"/>
    <w:rsid w:val="00715B31"/>
    <w:rsid w:val="0072046B"/>
    <w:rsid w:val="00736EF9"/>
    <w:rsid w:val="00753DA4"/>
    <w:rsid w:val="00762C11"/>
    <w:rsid w:val="00764560"/>
    <w:rsid w:val="0077071F"/>
    <w:rsid w:val="007745AA"/>
    <w:rsid w:val="0077461F"/>
    <w:rsid w:val="00777A84"/>
    <w:rsid w:val="00787413"/>
    <w:rsid w:val="00797DB2"/>
    <w:rsid w:val="007A77B2"/>
    <w:rsid w:val="007B664D"/>
    <w:rsid w:val="007C34B4"/>
    <w:rsid w:val="007C35D3"/>
    <w:rsid w:val="007D7233"/>
    <w:rsid w:val="007E072E"/>
    <w:rsid w:val="007E70C6"/>
    <w:rsid w:val="00800219"/>
    <w:rsid w:val="00802960"/>
    <w:rsid w:val="008034C3"/>
    <w:rsid w:val="008175F5"/>
    <w:rsid w:val="00825FED"/>
    <w:rsid w:val="0083342F"/>
    <w:rsid w:val="0084614D"/>
    <w:rsid w:val="00853811"/>
    <w:rsid w:val="00861F8A"/>
    <w:rsid w:val="00864681"/>
    <w:rsid w:val="00896DF4"/>
    <w:rsid w:val="008C5E15"/>
    <w:rsid w:val="008E386D"/>
    <w:rsid w:val="008F0E8A"/>
    <w:rsid w:val="008F20D8"/>
    <w:rsid w:val="008F5AAC"/>
    <w:rsid w:val="00906E12"/>
    <w:rsid w:val="00925C21"/>
    <w:rsid w:val="009331C4"/>
    <w:rsid w:val="0097142C"/>
    <w:rsid w:val="0097360E"/>
    <w:rsid w:val="009776B3"/>
    <w:rsid w:val="00982705"/>
    <w:rsid w:val="00985604"/>
    <w:rsid w:val="0098615F"/>
    <w:rsid w:val="00986444"/>
    <w:rsid w:val="009868E4"/>
    <w:rsid w:val="00997504"/>
    <w:rsid w:val="009C0806"/>
    <w:rsid w:val="009C40B2"/>
    <w:rsid w:val="009C7400"/>
    <w:rsid w:val="009D09C0"/>
    <w:rsid w:val="009D5D18"/>
    <w:rsid w:val="009E095E"/>
    <w:rsid w:val="009F5981"/>
    <w:rsid w:val="00A2273F"/>
    <w:rsid w:val="00A2486F"/>
    <w:rsid w:val="00A27B16"/>
    <w:rsid w:val="00A34A5F"/>
    <w:rsid w:val="00A35FF4"/>
    <w:rsid w:val="00A44475"/>
    <w:rsid w:val="00A56595"/>
    <w:rsid w:val="00A72869"/>
    <w:rsid w:val="00A7295A"/>
    <w:rsid w:val="00A72D8E"/>
    <w:rsid w:val="00A8464A"/>
    <w:rsid w:val="00A84B9D"/>
    <w:rsid w:val="00A85716"/>
    <w:rsid w:val="00AB2D10"/>
    <w:rsid w:val="00AC1651"/>
    <w:rsid w:val="00AC4438"/>
    <w:rsid w:val="00AE1185"/>
    <w:rsid w:val="00B115EB"/>
    <w:rsid w:val="00B375E6"/>
    <w:rsid w:val="00B40C5A"/>
    <w:rsid w:val="00B41F07"/>
    <w:rsid w:val="00B430DB"/>
    <w:rsid w:val="00B54D66"/>
    <w:rsid w:val="00B56BE1"/>
    <w:rsid w:val="00B631EF"/>
    <w:rsid w:val="00B965AC"/>
    <w:rsid w:val="00BA1297"/>
    <w:rsid w:val="00BA2FDF"/>
    <w:rsid w:val="00BA3085"/>
    <w:rsid w:val="00BA6D5E"/>
    <w:rsid w:val="00BB2190"/>
    <w:rsid w:val="00BB46F2"/>
    <w:rsid w:val="00BC4F61"/>
    <w:rsid w:val="00BC7E91"/>
    <w:rsid w:val="00BD7D6D"/>
    <w:rsid w:val="00BE3ABB"/>
    <w:rsid w:val="00BE567F"/>
    <w:rsid w:val="00C02E0E"/>
    <w:rsid w:val="00C05574"/>
    <w:rsid w:val="00C135B5"/>
    <w:rsid w:val="00C26B55"/>
    <w:rsid w:val="00C2753F"/>
    <w:rsid w:val="00C3046B"/>
    <w:rsid w:val="00C31C22"/>
    <w:rsid w:val="00C32D97"/>
    <w:rsid w:val="00C35872"/>
    <w:rsid w:val="00C46417"/>
    <w:rsid w:val="00C542EF"/>
    <w:rsid w:val="00C60C56"/>
    <w:rsid w:val="00C6139B"/>
    <w:rsid w:val="00C638EA"/>
    <w:rsid w:val="00C659B1"/>
    <w:rsid w:val="00C77003"/>
    <w:rsid w:val="00C77559"/>
    <w:rsid w:val="00C81CD8"/>
    <w:rsid w:val="00C820C3"/>
    <w:rsid w:val="00CA77B3"/>
    <w:rsid w:val="00CB100B"/>
    <w:rsid w:val="00CB6E84"/>
    <w:rsid w:val="00CC17FF"/>
    <w:rsid w:val="00CD2173"/>
    <w:rsid w:val="00CE2580"/>
    <w:rsid w:val="00CE5649"/>
    <w:rsid w:val="00CF1900"/>
    <w:rsid w:val="00D02F9A"/>
    <w:rsid w:val="00D2117F"/>
    <w:rsid w:val="00D43E75"/>
    <w:rsid w:val="00D44CA5"/>
    <w:rsid w:val="00D4509D"/>
    <w:rsid w:val="00D513BD"/>
    <w:rsid w:val="00D56444"/>
    <w:rsid w:val="00D65766"/>
    <w:rsid w:val="00D81D49"/>
    <w:rsid w:val="00D83167"/>
    <w:rsid w:val="00D9063D"/>
    <w:rsid w:val="00D94DB1"/>
    <w:rsid w:val="00DA4A1F"/>
    <w:rsid w:val="00DB225F"/>
    <w:rsid w:val="00DB67A6"/>
    <w:rsid w:val="00DC29A9"/>
    <w:rsid w:val="00DC4125"/>
    <w:rsid w:val="00DC56AF"/>
    <w:rsid w:val="00DC6B61"/>
    <w:rsid w:val="00DD0D3B"/>
    <w:rsid w:val="00DD0EB0"/>
    <w:rsid w:val="00DD5197"/>
    <w:rsid w:val="00DF182C"/>
    <w:rsid w:val="00DF26BD"/>
    <w:rsid w:val="00DF30DA"/>
    <w:rsid w:val="00DF407D"/>
    <w:rsid w:val="00E04A4B"/>
    <w:rsid w:val="00E2667F"/>
    <w:rsid w:val="00E36F05"/>
    <w:rsid w:val="00E50793"/>
    <w:rsid w:val="00E55E35"/>
    <w:rsid w:val="00E64D4E"/>
    <w:rsid w:val="00E64F4D"/>
    <w:rsid w:val="00E64F51"/>
    <w:rsid w:val="00E723AB"/>
    <w:rsid w:val="00E83EF9"/>
    <w:rsid w:val="00E84608"/>
    <w:rsid w:val="00EA3EC3"/>
    <w:rsid w:val="00EA7B1B"/>
    <w:rsid w:val="00EC61C6"/>
    <w:rsid w:val="00ED489A"/>
    <w:rsid w:val="00ED59F6"/>
    <w:rsid w:val="00EE071C"/>
    <w:rsid w:val="00EF26C3"/>
    <w:rsid w:val="00F01906"/>
    <w:rsid w:val="00F10292"/>
    <w:rsid w:val="00F12D96"/>
    <w:rsid w:val="00F351B4"/>
    <w:rsid w:val="00F433D1"/>
    <w:rsid w:val="00F719B9"/>
    <w:rsid w:val="00F80D0E"/>
    <w:rsid w:val="00F83582"/>
    <w:rsid w:val="00F83F92"/>
    <w:rsid w:val="00F91050"/>
    <w:rsid w:val="00FB0E18"/>
    <w:rsid w:val="00FD129D"/>
    <w:rsid w:val="00FD2383"/>
    <w:rsid w:val="00FD629E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E5C"/>
  <w15:chartTrackingRefBased/>
  <w15:docId w15:val="{2B79088F-2F2B-4108-AFEC-CB5C459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0DA"/>
    <w:rPr>
      <w:color w:val="808080"/>
    </w:rPr>
  </w:style>
  <w:style w:type="table" w:styleId="TableGrid">
    <w:name w:val="Table Grid"/>
    <w:basedOn w:val="TableNormal"/>
    <w:uiPriority w:val="39"/>
    <w:rsid w:val="005B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B66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E3D21-1804-413D-8B7C-409108C0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Lew</dc:creator>
  <cp:keywords/>
  <dc:description/>
  <cp:lastModifiedBy>Iris Lew</cp:lastModifiedBy>
  <cp:revision>51</cp:revision>
  <dcterms:created xsi:type="dcterms:W3CDTF">2022-10-19T01:06:00Z</dcterms:created>
  <dcterms:modified xsi:type="dcterms:W3CDTF">2022-10-21T22:30:00Z</dcterms:modified>
</cp:coreProperties>
</file>