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A737B" w14:textId="77777777" w:rsidR="00055D05" w:rsidRDefault="00AC44F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DA737C" w14:textId="77777777" w:rsidR="00055D05" w:rsidRDefault="00AC44F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EDA737D" w14:textId="77777777" w:rsidR="00055D05" w:rsidRDefault="00055D05">
      <w:pPr>
        <w:spacing w:after="0"/>
        <w:jc w:val="center"/>
        <w:rPr>
          <w:b/>
        </w:rPr>
      </w:pPr>
    </w:p>
    <w:tbl>
      <w:tblPr>
        <w:tblStyle w:val="Style15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055D05" w14:paraId="0EDA7380" w14:textId="77777777">
        <w:tc>
          <w:tcPr>
            <w:tcW w:w="4695" w:type="dxa"/>
          </w:tcPr>
          <w:p w14:paraId="0EDA737E" w14:textId="77777777" w:rsidR="00055D05" w:rsidRDefault="00AC44F0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0EDA737F" w14:textId="5B370BAC" w:rsidR="00055D05" w:rsidRDefault="00AC44F0">
            <w:pPr>
              <w:spacing w:after="0" w:line="240" w:lineRule="auto"/>
            </w:pPr>
            <w:r>
              <w:t>27</w:t>
            </w:r>
            <w:r>
              <w:t xml:space="preserve"> JUNE 2025</w:t>
            </w:r>
          </w:p>
        </w:tc>
      </w:tr>
      <w:tr w:rsidR="00055D05" w14:paraId="0EDA7383" w14:textId="77777777">
        <w:tc>
          <w:tcPr>
            <w:tcW w:w="4695" w:type="dxa"/>
          </w:tcPr>
          <w:p w14:paraId="0EDA7381" w14:textId="77777777" w:rsidR="00055D05" w:rsidRDefault="00AC44F0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0EDA7382" w14:textId="77777777" w:rsidR="00055D05" w:rsidRDefault="00AC44F0">
            <w:pPr>
              <w:spacing w:after="0" w:line="240" w:lineRule="auto"/>
            </w:pPr>
            <w:r>
              <w:t> LTVIP2025TMID30362</w:t>
            </w:r>
          </w:p>
        </w:tc>
      </w:tr>
      <w:tr w:rsidR="00055D05" w14:paraId="0EDA7386" w14:textId="77777777">
        <w:tc>
          <w:tcPr>
            <w:tcW w:w="4695" w:type="dxa"/>
          </w:tcPr>
          <w:p w14:paraId="0EDA7384" w14:textId="77777777" w:rsidR="00055D05" w:rsidRDefault="00AC44F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0EDA7385" w14:textId="77777777" w:rsidR="00055D05" w:rsidRDefault="00AC44F0">
            <w:pPr>
              <w:spacing w:after="0" w:line="240" w:lineRule="auto"/>
            </w:pPr>
            <w:r>
              <w:t>Citizen AI – Intelligent Citizen Engagement Platform</w:t>
            </w:r>
          </w:p>
        </w:tc>
      </w:tr>
      <w:tr w:rsidR="00055D05" w14:paraId="0EDA7389" w14:textId="77777777">
        <w:tc>
          <w:tcPr>
            <w:tcW w:w="4695" w:type="dxa"/>
          </w:tcPr>
          <w:p w14:paraId="0EDA7387" w14:textId="77777777" w:rsidR="00055D05" w:rsidRDefault="00AC44F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0EDA7388" w14:textId="77777777" w:rsidR="00055D05" w:rsidRDefault="00AC44F0">
            <w:pPr>
              <w:spacing w:after="0" w:line="240" w:lineRule="auto"/>
            </w:pPr>
            <w:r>
              <w:t>2 Marks</w:t>
            </w:r>
          </w:p>
        </w:tc>
      </w:tr>
    </w:tbl>
    <w:p w14:paraId="0EDA738A" w14:textId="77777777" w:rsidR="00055D05" w:rsidRDefault="00055D05">
      <w:pPr>
        <w:rPr>
          <w:b/>
        </w:rPr>
      </w:pPr>
    </w:p>
    <w:p w14:paraId="0EDA738B" w14:textId="77777777" w:rsidR="00055D05" w:rsidRDefault="00AC44F0">
      <w:pPr>
        <w:rPr>
          <w:b/>
        </w:rPr>
      </w:pPr>
      <w:r>
        <w:rPr>
          <w:b/>
        </w:rPr>
        <w:t>Proposed Solution Template:</w:t>
      </w:r>
    </w:p>
    <w:p w14:paraId="0EDA738C" w14:textId="77777777" w:rsidR="00055D05" w:rsidRDefault="00AC44F0">
      <w:r>
        <w:t xml:space="preserve">Project team shall fill the </w:t>
      </w:r>
      <w:r>
        <w:t>following information in the proposed solution template.</w:t>
      </w:r>
    </w:p>
    <w:tbl>
      <w:tblPr>
        <w:tblStyle w:val="Style16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055D05" w14:paraId="0EDA7390" w14:textId="77777777">
        <w:trPr>
          <w:trHeight w:val="557"/>
        </w:trPr>
        <w:tc>
          <w:tcPr>
            <w:tcW w:w="901" w:type="dxa"/>
          </w:tcPr>
          <w:p w14:paraId="0EDA738D" w14:textId="77777777" w:rsidR="00055D05" w:rsidRDefault="00AC44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0EDA738E" w14:textId="77777777" w:rsidR="00055D05" w:rsidRDefault="00AC44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EDA738F" w14:textId="77777777" w:rsidR="00055D05" w:rsidRDefault="00AC44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55D05" w14:paraId="0EDA7395" w14:textId="77777777">
        <w:trPr>
          <w:trHeight w:val="817"/>
        </w:trPr>
        <w:tc>
          <w:tcPr>
            <w:tcW w:w="901" w:type="dxa"/>
          </w:tcPr>
          <w:p w14:paraId="0EDA7391" w14:textId="77777777" w:rsidR="00055D05" w:rsidRDefault="00055D05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EDA7392" w14:textId="77777777" w:rsidR="00055D05" w:rsidRDefault="00AC44F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EDA7393" w14:textId="77777777" w:rsidR="00055D05" w:rsidRDefault="00AC44F0">
            <w:pPr>
              <w:spacing w:after="0" w:line="240" w:lineRule="auto"/>
            </w:pPr>
            <w:r>
              <w:t xml:space="preserve">Many citizens struggle to access relevant government services, policies, and schemes due to a lack of awareness, digital </w:t>
            </w:r>
            <w:r>
              <w:t>literacy, or fragmented platforms. This leads to low civic engagement and inequitable access to public benefits.</w:t>
            </w:r>
          </w:p>
          <w:p w14:paraId="0EDA7394" w14:textId="77777777" w:rsidR="00055D05" w:rsidRDefault="00055D05">
            <w:pPr>
              <w:spacing w:after="0" w:line="240" w:lineRule="auto"/>
            </w:pPr>
          </w:p>
        </w:tc>
      </w:tr>
      <w:tr w:rsidR="00055D05" w14:paraId="0EDA7399" w14:textId="77777777">
        <w:trPr>
          <w:trHeight w:val="817"/>
        </w:trPr>
        <w:tc>
          <w:tcPr>
            <w:tcW w:w="901" w:type="dxa"/>
          </w:tcPr>
          <w:p w14:paraId="0EDA7396" w14:textId="77777777" w:rsidR="00055D05" w:rsidRDefault="00055D05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EDA7397" w14:textId="77777777" w:rsidR="00055D05" w:rsidRDefault="00AC44F0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EDA7398" w14:textId="77777777" w:rsidR="00055D05" w:rsidRDefault="00AC44F0">
            <w:pPr>
              <w:spacing w:after="0" w:line="240" w:lineRule="auto"/>
            </w:pPr>
            <w:r>
              <w:t xml:space="preserve">Citizen AI is a conversational AI platform designed to bridge the gap between citizens and government </w:t>
            </w:r>
            <w:r>
              <w:t>services. By enabling natural language interactions in local languages, it provides personalized guidance on available schemes, grievance redressal systems, and civic rights—empowering users to take informed action in real time.</w:t>
            </w:r>
          </w:p>
        </w:tc>
      </w:tr>
      <w:tr w:rsidR="00055D05" w14:paraId="0EDA739D" w14:textId="77777777">
        <w:trPr>
          <w:trHeight w:val="787"/>
        </w:trPr>
        <w:tc>
          <w:tcPr>
            <w:tcW w:w="901" w:type="dxa"/>
          </w:tcPr>
          <w:p w14:paraId="0EDA739A" w14:textId="77777777" w:rsidR="00055D05" w:rsidRDefault="00055D05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EDA739B" w14:textId="77777777" w:rsidR="00055D05" w:rsidRDefault="00AC44F0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EDA739C" w14:textId="77777777" w:rsidR="00055D05" w:rsidRDefault="00AC44F0">
            <w:pPr>
              <w:spacing w:after="0" w:line="240" w:lineRule="auto"/>
            </w:pPr>
            <w:r>
              <w:t>Unlike generic chatbots, Citizen AI leverages localized data, multilingual support, and sentiment understanding to offer context-specific responses. It adapts to regional issues and updates dynamically with policy changes, offering a personalized civic assistant experience.</w:t>
            </w:r>
          </w:p>
        </w:tc>
      </w:tr>
      <w:tr w:rsidR="00055D05" w14:paraId="0EDA73A1" w14:textId="77777777">
        <w:trPr>
          <w:trHeight w:val="817"/>
        </w:trPr>
        <w:tc>
          <w:tcPr>
            <w:tcW w:w="901" w:type="dxa"/>
          </w:tcPr>
          <w:p w14:paraId="0EDA739E" w14:textId="77777777" w:rsidR="00055D05" w:rsidRDefault="00055D05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EDA739F" w14:textId="77777777" w:rsidR="00055D05" w:rsidRDefault="00AC44F0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EDA73A0" w14:textId="77777777" w:rsidR="00055D05" w:rsidRDefault="00AC44F0">
            <w:pPr>
              <w:spacing w:after="0" w:line="240" w:lineRule="auto"/>
            </w:pPr>
            <w:r>
              <w:t xml:space="preserve">Citizen AI improves inclusivity by reaching digitally underserved populations, strengthens democratic participation, and reduces bureaucratic friction. Pilots have shown increased awareness of </w:t>
            </w:r>
            <w:r>
              <w:t>entitlements and faster resolution of citizen grievances.</w:t>
            </w:r>
          </w:p>
        </w:tc>
      </w:tr>
      <w:tr w:rsidR="00055D05" w14:paraId="0EDA73A5" w14:textId="77777777">
        <w:trPr>
          <w:trHeight w:val="817"/>
        </w:trPr>
        <w:tc>
          <w:tcPr>
            <w:tcW w:w="901" w:type="dxa"/>
          </w:tcPr>
          <w:p w14:paraId="0EDA73A2" w14:textId="77777777" w:rsidR="00055D05" w:rsidRDefault="00055D05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EDA73A3" w14:textId="77777777" w:rsidR="00055D05" w:rsidRDefault="00AC44F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0EDA73A4" w14:textId="77777777" w:rsidR="00055D05" w:rsidRDefault="00AC44F0">
            <w:pPr>
              <w:spacing w:after="0" w:line="240" w:lineRule="auto"/>
            </w:pPr>
            <w:r>
              <w:t>Revenue can be generated through a B2G (business-to-government) model via platform licensing, customization services for municipalities, and long-term maintenance contracts. Potential exists for CSR-backed deployments and NGO partnerships as well.</w:t>
            </w:r>
          </w:p>
        </w:tc>
      </w:tr>
      <w:tr w:rsidR="00055D05" w14:paraId="0EDA73A9" w14:textId="77777777">
        <w:trPr>
          <w:trHeight w:val="817"/>
        </w:trPr>
        <w:tc>
          <w:tcPr>
            <w:tcW w:w="901" w:type="dxa"/>
          </w:tcPr>
          <w:p w14:paraId="0EDA73A6" w14:textId="77777777" w:rsidR="00055D05" w:rsidRDefault="00055D05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EDA73A7" w14:textId="77777777" w:rsidR="00055D05" w:rsidRDefault="00AC44F0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0EDA73A8" w14:textId="77777777" w:rsidR="00055D05" w:rsidRDefault="00AC44F0">
            <w:pPr>
              <w:spacing w:after="0" w:line="240" w:lineRule="auto"/>
            </w:pPr>
            <w:r>
              <w:t xml:space="preserve">The modular architecture and API-first design of Citizen AI support rapid rollout across states and languages. The platform is built to </w:t>
            </w:r>
            <w:r>
              <w:t xml:space="preserve">integrate seamlessly with e-Governance APIs </w:t>
            </w:r>
            <w:r>
              <w:lastRenderedPageBreak/>
              <w:t>and can expand into sectors like healthcare, education, and disaster response.</w:t>
            </w:r>
          </w:p>
        </w:tc>
      </w:tr>
    </w:tbl>
    <w:p w14:paraId="0EDA73AA" w14:textId="77777777" w:rsidR="00055D05" w:rsidRDefault="00055D05"/>
    <w:sectPr w:rsidR="00055D0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A73AD" w14:textId="77777777" w:rsidR="00055D05" w:rsidRDefault="00AC44F0">
      <w:pPr>
        <w:spacing w:line="240" w:lineRule="auto"/>
      </w:pPr>
      <w:r>
        <w:separator/>
      </w:r>
    </w:p>
  </w:endnote>
  <w:endnote w:type="continuationSeparator" w:id="0">
    <w:p w14:paraId="0EDA73AE" w14:textId="77777777" w:rsidR="00055D05" w:rsidRDefault="00AC44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A73AB" w14:textId="77777777" w:rsidR="00055D05" w:rsidRDefault="00AC44F0">
      <w:pPr>
        <w:spacing w:after="0"/>
      </w:pPr>
      <w:r>
        <w:separator/>
      </w:r>
    </w:p>
  </w:footnote>
  <w:footnote w:type="continuationSeparator" w:id="0">
    <w:p w14:paraId="0EDA73AC" w14:textId="77777777" w:rsidR="00055D05" w:rsidRDefault="00AC44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2FA62ACD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2811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55D05"/>
    <w:rsid w:val="00084126"/>
    <w:rsid w:val="00152736"/>
    <w:rsid w:val="00321946"/>
    <w:rsid w:val="00350B1D"/>
    <w:rsid w:val="003A062C"/>
    <w:rsid w:val="003E718A"/>
    <w:rsid w:val="00604E29"/>
    <w:rsid w:val="00AC44F0"/>
    <w:rsid w:val="00C27B72"/>
    <w:rsid w:val="00D90E76"/>
    <w:rsid w:val="0C76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737B"/>
  <w15:docId w15:val="{3DCA76EF-2FE7-4FBC-9FD7-20B13E0E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"/>
    <w:tblPr/>
  </w:style>
  <w:style w:type="table" w:customStyle="1" w:styleId="Style16">
    <w:name w:val="_Style 16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Dronadula srilekha</cp:lastModifiedBy>
  <cp:revision>7</cp:revision>
  <dcterms:created xsi:type="dcterms:W3CDTF">2022-09-18T16:51:00Z</dcterms:created>
  <dcterms:modified xsi:type="dcterms:W3CDTF">2025-06-27T10:00:00Z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C82DEBC174A040B399B5B02BC4EF260A_12</vt:lpwstr>
  </property>
</Properties>
</file>