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Migration Failure Agent — Architecture Review &amp; Implementation Plan</w:t>
      </w:r>
    </w:p>
    <w:p>
      <w:pPr>
        <w:pStyle w:val="Subtitle"/>
      </w:pPr>
      <w:r>
        <w:t xml:space="preserve">Production Migration SRE Agent · VMware → OpenShift Virtualization</w:t>
      </w:r>
    </w:p>
    <w:p>
      <w:pPr>
        <w:pStyle w:val="Heading1"/>
        <w:spacing w:after="150" w:before="320"/>
      </w:pPr>
      <w:r>
        <w:t xml:space="preserve">1. Architecture Review</w:t>
      </w:r>
    </w:p>
    <w:p>
      <w:pPr>
        <w:spacing w:after="140"/>
      </w:pPr>
      <w:r>
        <w:t xml:space="preserve">The overall design is sound and follows genuine production-grade principles: the LLM is scoped strictly to diagnosis, execution stays deterministic, evidence carries provenance, and the system is explicitly three-dimensional in its state model. Most “AI SRE” projects skip exactly this discipline. Six gaps were identified; Section 2 resolves each with a concrete, production-grade design rather than leaving it as an open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agent pattern is actually named — resolved in 2.1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Organizational-memory loop never closes — resolved in 2.2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is a string, not a calibrated score — resolved in 2.3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mechanism from the portal DB is unspecified — resolved in 2.4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cost/latency budget per run — resolved in 2.5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conflict resolution is undefined — resolved in 2.6</w:t>
      </w:r>
    </w:p>
    <w:p>
      <w:pPr>
        <w:pStyle w:val="Heading1"/>
        <w:spacing w:after="150" w:before="320"/>
      </w:pPr>
      <w:r>
        <w:t xml:space="preserve">2. Gap Resolutions — Production-Grade Design</w:t>
      </w:r>
    </w:p>
    <w:p>
      <w:pPr>
        <w:pStyle w:val="Heading2"/>
        <w:spacing w:after="120" w:before="260"/>
      </w:pPr>
      <w:r>
        <w:t xml:space="preserve">2.1 Agent pattern</w:t>
      </w:r>
    </w:p>
    <w:p>
      <w:pPr>
        <w:spacing w:after="140"/>
      </w:pPr>
      <w:r>
        <w:t xml:space="preserve">Use a bounded ReAct loop gated by a deterministic evaluator, implemented as an explicit LangGraph StateGraph rather than an open-ended planner: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Nodes: load_context → reason → execute_tool → update_evidence → evaluate_goal, with conditional edges to request_approval, escalate, or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object carries: incident_id, goal, evidence[], iteration_count, budget_remaining, status — all fields backend-owned, not LLM-writable.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evaluate_goal is a hybrid node: deterministic checks (required evidence sources present, telemetry fresh, no unresolved conflicts) run first in code; only if they pass does an LLM sub-call assess evidence sufficiency and correlation.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LLM's only output at each step is a proposed tool call or a proposed evidence interpretation — it never writes to status directly. The graph's conditional-edge function is the sole place a state transition is committed, and it re-validates against the ALLOWED_TRANSITIONS table before doing so.</w:t>
      </w:r>
    </w:p>
    <w:p>
      <w:pPr>
        <w:pStyle w:val="Heading2"/>
        <w:spacing w:after="120" w:before="260"/>
      </w:pPr>
      <w:r>
        <w:t xml:space="preserve">2.2 Closing the organizational-memory loop</w:t>
      </w:r>
    </w:p>
    <w:p>
      <w:pPr>
        <w:spacing w:after="140"/>
      </w:pPr>
      <w:r>
        <w:t xml:space="preserve">Add an explicit write-back pipeline triggered on confirmed incident resolution, not left implicit: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Trigger: portal UI requires the on-call engineer to mark a completed diagnosis correct / corrected (with the actual resolution) before the incident can be closed — this emits an incident.resolved.confirmed Kafka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Pipeline: a consumer extracts a symptom signature (structured features — failed phase, error signature, affected component — plus a short text summary), embeds it, and upserts into a vector store (pgvector alongside the existing Postgres, or a dedicated store) with metadata: incident_id, root_cause, evidence_refs, confidence_at_time, was_correct, resolution_action,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Deduplication: before insert, check cosine similarity against existing entries; near-duplicates increment an occurrence_count instead of creating a new row, so the memory store reflects frequency, not noise.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examples are kept separately: cases where was_correct = false are retained but excluded from get_known_fix() ranking and only surfaced as “previously ruled out” context — this prevents the memory store from reinforcing wrong diagnoses.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stays bounded and advisory: top-k with a minimum similarity threshold, and per the design's own rule (“RAG is knowledge, not proof”), a retrieved match can only raise a hypothesis for the current run’s live evidence to confirm or reject — it cannot itself raise confidence.</w:t>
      </w:r>
    </w:p>
    <w:p>
      <w:pPr>
        <w:pStyle w:val="Heading2"/>
        <w:spacing w:after="120" w:before="260"/>
      </w:pPr>
      <w:r>
        <w:t xml:space="preserve">2.3 Calibrated confidence scoring</w:t>
      </w:r>
    </w:p>
    <w:p>
      <w:pPr>
        <w:spacing w:after="140"/>
      </w:pPr>
      <w:r>
        <w:t xml:space="preserve">Replace the free-text HIGH/LOW label with a deterministic score the backend computes from the evidence list, not one the LLM asserts: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confidence_score = weighted function of: number of independent corroborating sources, each source's reliability tier, presence of unresolved contradicting evidence (heavily penalized), and telemetry freshness.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LLM proposes which evidence supports or contradicts the hypothesis (populating supports / contradicts on each Evidence record); the score itself is calculated in code from those links, so it cannot be inflated by the model.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 / gate behavior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0.75</w:t>
            </w:r>
          </w:p>
        </w:tc>
        <w:tc>
          <w:tcPr>
            <w:tcW w:type="dxa" w:w="4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 corroborating sources, no unresolved contradictions, telemetry fresh — eligible for RECOMMENDATION_READY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0.40 – 0.75</w:t>
            </w:r>
          </w:p>
        </w:tc>
        <w:tc>
          <w:tcPr>
            <w:tcW w:type="dxa" w:w="4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strong source or partial corroboration — diagnosis shown with caveats, recommendation flagged “verify before acting”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0.40</w:t>
            </w:r>
          </w:p>
        </w:tc>
        <w:tc>
          <w:tcPr>
            <w:tcW w:type="dxa" w:w="4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Weak/contradicted/stale evidence — forced to UNKNOWN / INSUFFICIENT_EVIDENCE, never surfaced as actionable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Calibration loop: log confidence_score alongside was_correct from the memory write-back (2.2) and periodically plot a reliability curve; if HIGH-band diagnoses aren't actually correct ~75%+ of the time in practice, tighten the thresholds — this is a scheduled review, not a one-time calibration.</w:t>
      </w:r>
    </w:p>
    <w:p>
      <w:pPr>
        <w:pStyle w:val="Heading2"/>
        <w:spacing w:after="120" w:before="260"/>
      </w:pPr>
      <w:r>
        <w:t xml:space="preserve">2.4 Trigger from the migration portal DB</w:t>
      </w:r>
    </w:p>
    <w:p>
      <w:pPr>
        <w:spacing w:after="140"/>
      </w:pPr>
      <w:r>
        <w:t xml:space="preserve">Use change-data-capture rather than polling or a bare application-level emit, to avoid the dual-write problem: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Preferred: Debezium connector on the migrations table, keyed by migration_id, publishing to migration.status.changed; a lightweight stream filter (ksqlDB / Kafka Streams, or a simple consumer) republishes only status → FAILED transitions to migration.failed.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application-level emit is used instead, implement it as a transactional outbox (write the event to an outbox table in the same DB transaction as the status update, then a relay publishes to Kafka) — never a bare post-commit publish, which can silently lose events on crash.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Consumers are idempotent on event_id + migration_id so replays, redeliveries, and Debezium snapshots don't create duplicate incidents.</w:t>
      </w:r>
    </w:p>
    <w:p>
      <w:pPr>
        <w:pStyle w:val="Heading2"/>
        <w:spacing w:after="120" w:before="260"/>
      </w:pPr>
      <w:r>
        <w:t xml:space="preserve">2.5 Cost, latency, and blast-radius budgets</w:t>
      </w:r>
    </w:p>
    <w:p>
      <w:pPr>
        <w:spacing w:after="140"/>
      </w:pPr>
      <w:r>
        <w:t xml:space="preserve">Give every run an explicit, enforced budget, not just an iteration ceiling: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Per-run budget config: max_llm_calls, max_tokens_total, max_tool_calls (per tool type), max_wall_clock_seconds, max_splunk_query_bytes.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Enforced in the execute_tool wrapper and evaluate_goal node, not left to the LLM to self-limit — exceeding any limit forces AGENT_TIMEOUT or BLOCKED with reason budget_exceeded, never a silent retry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LLM and tool call logs token/latency/cost to the Postgres audit table; a p95-cost-per-incident-type metric feeds the observability dashboard (Phase 7, Section 4) so runaway cost is visible before it's a bill.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breaker: if a given tool's failure rate exceeds a threshold within a window, that tool is temporarily disabled for new runs and existing runs fail closed to INSUFFICIENT_EVIDENCE rather than hammering a degraded dependency.</w:t>
      </w:r>
    </w:p>
    <w:p>
      <w:pPr>
        <w:pStyle w:val="Heading2"/>
        <w:spacing w:after="120" w:before="260"/>
      </w:pPr>
      <w:r>
        <w:t xml:space="preserve">2.6 Deterministic evidence conflict resolution</w:t>
      </w:r>
    </w:p>
    <w:p>
      <w:pPr>
        <w:spacing w:after="140"/>
      </w:pPr>
      <w:r>
        <w:t xml:space="preserve">CONFLICTING_EVIDENCE should be resolved by a deterministic pre-processing step before the LLM reasons about it, not left to model judgment: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reliability tier of the conflicting sources (live telemetry &gt; current health API &gt; logs &gt; historical/RAG match) — higher tier wins if tiers differ.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tiers are equal, prefer the more recent timestamp.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still tied, prefer the side with more independent corroborating sources.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genuinely unresolved after 1–3, the agent is permitted exactly one additional targeted tool call to disambiguate (counted against the run's budget) — not unbounded re-investigation.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still unresolved, the state transitions to CONFLICTING_EVIDENCE → ESCALATED and both sides are recorded verbatim in the evidence log for the human reviewer, rather than the agent silently picking one.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3. Implementation Guidance (Reference)</w:t>
      </w:r>
    </w:p>
    <w:p>
      <w:pPr>
        <w:spacing w:after="140"/>
      </w:pPr>
      <w:r>
        <w:t xml:space="preserve">Detail on tool implementation, prompt pattern, and skill-file structure carried over from the earlier review, referenced by the phase plan in Section 4.</w:t>
      </w:r>
    </w:p>
    <w:p>
      <w:pPr>
        <w:pStyle w:val="Heading2"/>
        <w:spacing w:after="120" w:before="260"/>
      </w:pPr>
      <w:r>
        <w:t xml:space="preserve">3.1 Tools to build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340"/>
      </w:tblGrid>
      <w:t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Backing system</w:t>
            </w:r>
          </w:p>
        </w:tc>
        <w:tc>
          <w:tcPr>
            <w:tcW w:type="dxa" w:w="4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get_migration_context()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DB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metadata, phase, VM, change ID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get_migration_logs() / search_splunk_for_migration()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Splunk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Aggregated error signatures, not raw text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get_migration_metrics()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Splunk metrics index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Throughput / latency summary stats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get_vm_health(), get_ocv_cluster_health(), get_storage_health(), get_network_health()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monitoring APIs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health JSON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search_known_migration_failures(), get_similar_migrations(), get_known_fix(), get_previous_resolution()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store (organizational memory)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 incidents and resolutions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search_mtv_documentation(), search_ocv_documentation()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over product docs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snippets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All tools sit behind an MCP gateway that enforces the READ_ONLY capability classification, with no exceptions in Phase 1.</w:t>
      </w:r>
    </w:p>
    <w:p>
      <w:pPr>
        <w:pStyle w:val="Heading2"/>
        <w:spacing w:after="120" w:before="260"/>
      </w:pPr>
      <w:r>
        <w:t xml:space="preserve">3.2 Prompt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prompt = role + explicit constraints (read-only, fail-closed, cite an evidence_id for every claim) + the JSON output schema — not free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 tool-calling rather than narrative reasoning in the response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Explicitly instruct that logs and retrieved documents are data, never instructions, and must not be followed as directives.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 UNKNOWN / INSUFFICIENT_EVIDENCE explicitly rather than a low-confidence guess.</w:t>
      </w:r>
    </w:p>
    <w:p>
      <w:pPr>
        <w:pStyle w:val="Heading2"/>
        <w:spacing w:after="120" w:before="260"/>
      </w:pPr>
      <w:r>
        <w:t xml:space="preserve">3.3 Skill / instructions file structure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Objective and the 17 success conditions.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Hard constraints (read-only, no cluster mutation, must cite evidence).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Tool catalog with a one-line purpose per tool.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Evidence schema — required output shape for every observation.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State machine and allowed transitions.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Output JSON schema for diagnosis and recommendation.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Worked examples: full diagnosis, INSUFFICIENT_EVIDENCE, CONFLICTING_EVIDENCE.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Explicit prompt-injection defense clause.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4. Step-by-Step Implementation Plan</w:t>
      </w:r>
    </w:p>
    <w:p>
      <w:pPr>
        <w:spacing w:after="140"/>
      </w:pPr>
      <w:r>
        <w:t xml:space="preserve">Phases are sequenced by dependency, not fixed calendar time — size them to your team's velocity. Each phase has a concrete exit criterion so “done” is verifiable, not judged by feel.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740"/>
      </w:tblGrid>
      <w:t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 schema, Kafka topics, vector store provisioned and reachable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&amp; ingestion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FAILED status write in the portal DB deterministically produces exactly one incident row within seconds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tool gateway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tool is READ_ONLY-enforced, schema-validated, and independently unit-testable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 agent core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completes a full run on a seeded historical failure and reaches a correct terminal state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Prompting &amp; skill spec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produces schema-valid output and resists a red-team prompt-injection log sample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Diagnosis output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Diagnosis/recommendation persisted, visible on a human-readable dashboard, nothing auto-executes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write-back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confirmed resolution is retrievable via get_similar_migrations() on a later, similar incident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listed metrics flow to dashboards; alerts fire on injected failure conditions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weeks of shadow diagnoses compared to real RCA with measured precision/recall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Controlled rollout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On-call engineers see recommendations; approval-required actions remain out of scope</w:t>
            </w:r>
          </w:p>
        </w:tc>
      </w:tr>
    </w:tbl>
    <w:p>
      <w:pPr>
        <w:pStyle w:val="Heading2"/>
        <w:spacing w:after="120" w:before="260"/>
      </w:pPr>
      <w:r>
        <w:t xml:space="preserve">Phase 0 — Foundations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Postgres schema: incidents, goals, evidence, decisions, audit, memory_resolutions — evidence and audit tables append-only, indexed on incident_id and timestamp.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Provision Kafka topics: migration.status.changed, migration.failed, incident.resolved.confirmed, diagnosis.ready — with retention long enough to support replay during Phase 1–2 testing.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Provision the vector store (pgvector extension is the simplest starting point given Postgres is already in the stack) and confirm embedding write/read latency is acceptable for the write-back path.</w:t>
      </w:r>
    </w:p>
    <w:p>
      <w:pPr>
        <w:pStyle w:val="Heading2"/>
        <w:spacing w:after="120" w:before="260"/>
      </w:pPr>
      <w:r>
        <w:t xml:space="preserve">Phase 1 — Trigger &amp; ingestion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Deploy the Debezium connector against the migrations table; verify captured change events include the fields needed for the incident record (migration_id, change_id, vm, prior/new status).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Build the stream filter that republishes only FAILED transitions to migration.failed.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Build the idempotent consumer that creates an incident row (status = NEW) keyed on event_id + migration_id; write a duplicate-delivery test (replay the same event twice, assert one incident).</w:t>
      </w:r>
    </w:p>
    <w:p>
      <w:pPr>
        <w:pStyle w:val="Heading2"/>
        <w:spacing w:after="120" w:before="260"/>
      </w:pPr>
      <w:r>
        <w:t xml:space="preserve">Phase 2 — MCP tool gateway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Stand up the MCP server and register each tool from Section 3.1 with a strict input schema.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Implement the READ_ONLY enforcement middleware as an allowlist — any tool call not explicitly classified is rejected by default, not permitted by default.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Wrap the Splunk client with pre-built SPL templates per tool and the deterministic pre-aggregation step (error counts by signature, not raw lines).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Unit-test every tool independently against a mocked backend before wiring into the agent.</w:t>
      </w:r>
    </w:p>
    <w:p>
      <w:pPr>
        <w:pStyle w:val="Heading2"/>
        <w:spacing w:after="120" w:before="260"/>
      </w:pPr>
      <w:r>
        <w:t xml:space="preserve">Phase 3 — LangGraph agent core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Implement the StateGraph from Section 2.1: nodes, conditional edges, and the state object with backend-only-writable status.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Implement the deterministic checks inside evaluate_goal (required evidence sources present, telemetry freshness, budget remaining) before any LLM call.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Implement the confidence scoring function from Section 2.3 as a pure function over the evidence list, unit-tested independently of the LLM.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Implement the conflict-resolution pre-processor from Section 2.6.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Implement the budget enforcement wrapper from Section 2.5 around every tool and LLM call.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Validate end-to-end on a small set of seeded historical failures with known correct root causes; the exit criterion is reaching the correct terminal state on these, not just “runs without error.”</w:t>
      </w:r>
    </w:p>
    <w:p>
      <w:pPr>
        <w:pStyle w:val="Heading2"/>
        <w:spacing w:after="120" w:before="260"/>
      </w:pPr>
      <w:r>
        <w:t xml:space="preserve">Phase 4 — Prompting &amp; skill spec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Write the skill/instructions file per the structure in Section 3.3.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Build 2–3 worked few-shot examples covering the full-diagnosis, insufficient-evidence, and conflicting-evidence cases.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Add the injection-defense clause and red-team it with log samples containing embedded instruction-like text (e.g. “ignore previous instructions…”) — exit criterion is the agent treating that text purely as evidence, never as a directive.</w:t>
      </w:r>
    </w:p>
    <w:p>
      <w:pPr>
        <w:pStyle w:val="Heading2"/>
        <w:spacing w:after="120" w:before="260"/>
      </w:pPr>
      <w:r>
        <w:t xml:space="preserve">Phase 5 — Diagnosis output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Implement and validate the diagnosis/recommendation JSON schema; reject and retry (bounded) on schema-invalid model output rather than passing it through.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Persist diagnosis and recommendation to Postgres and emit diagnosis.ready.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Surface results on a human-readable dashboard only — no automated action wiring in this phase, even read-only-adjacent ones.</w:t>
      </w:r>
    </w:p>
    <w:p>
      <w:pPr>
        <w:pStyle w:val="Heading2"/>
        <w:spacing w:after="120" w:before="260"/>
      </w:pPr>
      <w:r>
        <w:t xml:space="preserve">Phase 6 — Organizational memory write-back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Build the resolution-confirmation UI hook in the portal (correct / corrected + actual resolution) and the incident.resolved.confirmed emit.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Build the embedding + upsert consumer from Section 2.2, including the dedup and negative-example handling.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Validate by seeding a resolved incident, then running a new similar failure through the agent and confirming get_similar_migrations() surfaces it.</w:t>
      </w:r>
    </w:p>
    <w:p>
      <w:pPr>
        <w:pStyle w:val="Heading2"/>
        <w:spacing w:after="120" w:before="260"/>
      </w:pPr>
      <w:r>
        <w:t xml:space="preserve">Phase 7 — Observability &amp; guardrails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Instrument the full metric list from the design doc (agent_runs_total, tool_failures, diagnosis_confidence, insufficient_evidence_rate, etc.) plus budget_exceeded_rate from Section 2.5.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Build the audit log dashboard covering goal, reasoning decision, tool input/output, evidence, state transition, and policy decision per run.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Configure alerts on insufficient_evidence_rate, execution_failure_rate, and budget_exceeded_rate; test that each fires under an injected failure condition.</w:t>
      </w:r>
    </w:p>
    <w:p>
      <w:pPr>
        <w:pStyle w:val="Heading2"/>
        <w:spacing w:after="120" w:before="260"/>
      </w:pPr>
      <w:r>
        <w:t xml:space="preserve">Phase 8 — Shadow mode &amp; validation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Run the agent in shadow mode alongside the real on-call process: diagnoses are generated and logged but not shown as authoritative.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Compare agent diagnoses to actual engineer-determined root cause; compute precision/recall and build the confidence reliability curve referenced in Section 2.3.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Tune confidence thresholds and conflict-resolution rules based on shadow-mode results before any human-facing exposure.</w:t>
      </w:r>
    </w:p>
    <w:p>
      <w:pPr>
        <w:pStyle w:val="Heading2"/>
        <w:spacing w:after="120" w:before="260"/>
      </w:pPr>
      <w:r>
        <w:t xml:space="preserve">Phase 9 — Controlled rollout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Expose agent output to on-call engineers as a recommendation panel; the human always makes the final call, and this phase stays entirely read-only per the design's Phase 1 scope.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Track trust/adoption signals (how often engineers act on the recommendation, how often they override it) alongside the accuracy metrics from Phase 8.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Only after sustained accuracy over a defined observation window should APPROVAL_REQUIRED actions (rollback, continue-outside-window) be scoped as a distinct follow-on project — not bundled into this rollout.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b/>
      <w:bCs/>
      <w:color w:val="1F3864"/>
      <w:sz w:val="44"/>
      <w:szCs w:val="44"/>
    </w:rPr>
  </w:style>
  <w:style w:type="paragraph" w:styleId="Subtitle">
    <w:name w:val="Subtitle"/>
    <w:basedOn w:val="Normal"/>
    <w:next w:val="Normal"/>
    <w:pPr>
      <w:spacing w:after="400"/>
    </w:pPr>
    <w:rPr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2026-09-23T07:20:11.309Z</dcterms:created>
  <dcterms:modified xsi:type="dcterms:W3CDTF">2026-09-23T07:20:11.310Z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