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1220"/>
          <w:sz w:val="48"/>
        </w:rPr>
        <w:t>Application User — Getting Started</w:t>
      </w:r>
    </w:p>
    <w:p>
      <w:r>
        <w:rPr>
          <w:color w:val="5A6573"/>
          <w:sz w:val="25"/>
        </w:rPr>
        <w:t>For end users of an application built on ProjexCloud — your sign-in, your persona, and how your data is protected.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EF3FC"/>
          </w:tcPr>
          <w:p>
            <w:r>
              <w:rPr>
                <w:b/>
                <w:color w:val="0B1220"/>
                <w:sz w:val="21"/>
              </w:rPr>
              <w:t xml:space="preserve">Part of the onboarding suite.  </w:t>
            </w:r>
            <w:r>
              <w:rPr>
                <w:sz w:val="21"/>
              </w:rPr>
              <w:t xml:space="preserve">See </w:t>
            </w:r>
            <w:r>
              <w:rPr>
                <w:b/>
                <w:sz w:val="21"/>
              </w:rPr>
              <w:t>onboarding-overview</w:t>
            </w:r>
            <w:r>
              <w:rPr>
                <w:sz w:val="21"/>
              </w:rPr>
              <w:t xml:space="preserve"> for the three-portal model and the identity model. Persona guides: Tenant Admin, Tenant Developer, App User, Platform Admin, ProjexCloud Admin.</w:t>
            </w:r>
          </w:p>
        </w:tc>
      </w:tr>
    </w:tbl>
    <w:p/>
    <w:p>
      <w:pPr>
        <w:pStyle w:val="Heading1"/>
      </w:pPr>
      <w:r>
        <w:rPr>
          <w:color w:val="1A51C7"/>
        </w:rPr>
        <w:t>Who you are</w:t>
      </w:r>
    </w:p>
    <w:p>
      <w:r>
        <w:rPr>
          <w:sz w:val="21"/>
        </w:rPr>
        <w:t>You are an everyday user of an application powered by ProjexCloud — a Buyer, Patient, Operator, Devotee, Contractor, or any role your organization defines. You do not manage the platform; you use the app.</w:t>
      </w:r>
    </w:p>
    <w:p>
      <w:pPr>
        <w:pStyle w:val="Heading1"/>
      </w:pPr>
      <w:r>
        <w:rPr>
          <w:color w:val="1A51C7"/>
        </w:rPr>
        <w:t>Signing in</w:t>
      </w:r>
    </w:p>
    <w:p>
      <w:pPr>
        <w:pStyle w:val="ListNumber"/>
      </w:pPr>
      <w:r>
        <w:rPr>
          <w:sz w:val="21"/>
        </w:rPr>
        <w:t>Open the application URL your organization gave you and sign in (email/password, SSO, or a magic link invite).</w:t>
      </w:r>
    </w:p>
    <w:p>
      <w:pPr>
        <w:pStyle w:val="ListNumber"/>
      </w:pPr>
      <w:r>
        <w:rPr>
          <w:sz w:val="21"/>
        </w:rPr>
        <w:t xml:space="preserve">Your identity resolves to a </w:t>
      </w:r>
      <w:r>
        <w:rPr>
          <w:b/>
          <w:sz w:val="21"/>
        </w:rPr>
        <w:t>persona</w:t>
      </w:r>
      <w:r>
        <w:rPr>
          <w:sz w:val="21"/>
        </w:rPr>
        <w:t xml:space="preserve"> — the role you hold in this app and tenant. You only see what your persona is allowed to see.</w:t>
      </w:r>
    </w:p>
    <w:p>
      <w:pPr>
        <w:pStyle w:val="ListNumber"/>
      </w:pPr>
      <w:r>
        <w:rPr>
          <w:sz w:val="21"/>
        </w:rPr>
        <w:t>If your organization uses MFA or biometric/PIN (on mobile via the HDK), complete that step.</w:t>
      </w:r>
    </w:p>
    <w:p>
      <w:pPr>
        <w:pStyle w:val="Heading1"/>
      </w:pPr>
      <w:r>
        <w:rPr>
          <w:color w:val="1A51C7"/>
        </w:rPr>
        <w:t>Your data &amp; privacy</w:t>
      </w:r>
    </w:p>
    <w:p>
      <w:pPr>
        <w:pStyle w:val="ListBullet"/>
      </w:pPr>
      <w:r>
        <w:rPr>
          <w:sz w:val="21"/>
        </w:rPr>
        <w:t xml:space="preserve">Your personal data is </w:t>
      </w:r>
      <w:r>
        <w:rPr>
          <w:b/>
          <w:sz w:val="21"/>
        </w:rPr>
        <w:t>encrypted</w:t>
      </w:r>
      <w:r>
        <w:rPr>
          <w:sz w:val="21"/>
        </w:rPr>
        <w:t xml:space="preserve"> and referenced by a canonical identity, never copied around as plain text.</w:t>
      </w:r>
    </w:p>
    <w:p>
      <w:pPr>
        <w:pStyle w:val="ListBullet"/>
      </w:pPr>
      <w:r>
        <w:rPr>
          <w:sz w:val="21"/>
        </w:rPr>
        <w:t xml:space="preserve">Reads of personal data are </w:t>
      </w:r>
      <w:r>
        <w:rPr>
          <w:b/>
          <w:sz w:val="21"/>
        </w:rPr>
        <w:t>consent-gated</w:t>
      </w:r>
      <w:r>
        <w:rPr>
          <w:sz w:val="21"/>
        </w:rPr>
        <w:t xml:space="preserve"> and </w:t>
      </w:r>
      <w:r>
        <w:rPr>
          <w:b/>
          <w:sz w:val="21"/>
        </w:rPr>
        <w:t>audited</w:t>
      </w:r>
      <w:r>
        <w:rPr>
          <w:sz w:val="21"/>
        </w:rPr>
        <w:t xml:space="preserve"> — every access is logged in a tamper-evident ledger.</w:t>
      </w:r>
    </w:p>
    <w:p>
      <w:pPr>
        <w:pStyle w:val="ListBullet"/>
      </w:pPr>
      <w:r>
        <w:rPr>
          <w:sz w:val="21"/>
        </w:rPr>
        <w:t xml:space="preserve">You can exercise data rights (access / export / erasure) through your organization’s admin, backed by </w:t>
      </w:r>
      <w:r>
        <w:rPr>
          <w:rFonts w:ascii="Consolas" w:hAnsi="Consolas"/>
          <w:color w:val="1A51C7"/>
          <w:sz w:val="21"/>
        </w:rPr>
        <w:t>sdk-data-rights</w:t>
      </w:r>
      <w:r>
        <w:rPr>
          <w:sz w:val="21"/>
        </w:rPr>
        <w:t>.</w:t>
      </w:r>
    </w:p>
    <w:p>
      <w:pPr>
        <w:pStyle w:val="Heading1"/>
      </w:pPr>
      <w:r>
        <w:rPr>
          <w:color w:val="1A51C7"/>
        </w:rPr>
        <w:t>Getting help</w:t>
      </w:r>
    </w:p>
    <w:p>
      <w:r>
        <w:rPr>
          <w:sz w:val="21"/>
        </w:rPr>
        <w:t xml:space="preserve">For access problems, role changes, or data requests, contact </w:t>
      </w:r>
      <w:r>
        <w:rPr>
          <w:b/>
          <w:sz w:val="21"/>
        </w:rPr>
        <w:t>your organization’s Tenant Admin</w:t>
      </w:r>
      <w:r>
        <w:rPr>
          <w:sz w:val="21"/>
        </w:rPr>
        <w:t xml:space="preserve"> — they manage members, roles and consent for your tenant. Platform-level issues are handled by ProjexCloud operators behind the scenes.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B2A4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