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220"/>
          <w:sz w:val="48"/>
        </w:rPr>
        <w:t>Platform Admin (Operator) — Onboarding Guide</w:t>
      </w:r>
    </w:p>
    <w:p>
      <w:r>
        <w:rPr>
          <w:color w:val="5A6573"/>
          <w:sz w:val="25"/>
        </w:rPr>
        <w:t>Operate ProjexCloud across all tenants: provisioning, capacity, billing ops, audit and compliance.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C"/>
          </w:tcPr>
          <w:p>
            <w:r>
              <w:rPr>
                <w:b/>
                <w:color w:val="0B1220"/>
                <w:sz w:val="21"/>
              </w:rPr>
              <w:t xml:space="preserve">Part of the onboarding suite.  </w:t>
            </w:r>
            <w:r>
              <w:rPr>
                <w:sz w:val="21"/>
              </w:rPr>
              <w:t xml:space="preserve">See </w:t>
            </w:r>
            <w:r>
              <w:rPr>
                <w:b/>
                <w:sz w:val="21"/>
              </w:rPr>
              <w:t>onboarding-overview</w:t>
            </w:r>
            <w:r>
              <w:rPr>
                <w:sz w:val="21"/>
              </w:rPr>
              <w:t xml:space="preserve"> for the three-portal model and the identity model. Persona guides: Tenant Admin, Tenant Developer, App User, Platform Admin, ProjexCloud Admin.</w:t>
            </w:r>
          </w:p>
        </w:tc>
      </w:tr>
    </w:tbl>
    <w:p/>
    <w:p>
      <w:pPr>
        <w:pStyle w:val="Heading1"/>
      </w:pPr>
      <w:r>
        <w:rPr>
          <w:color w:val="1A51C7"/>
        </w:rPr>
        <w:t>Who you are &amp; where you sign in</w:t>
      </w:r>
    </w:p>
    <w:p>
      <w:r>
        <w:rPr>
          <w:sz w:val="21"/>
        </w:rPr>
        <w:t xml:space="preserve">You are a ProjexCloud </w:t>
      </w:r>
      <w:r>
        <w:rPr>
          <w:b/>
          <w:sz w:val="21"/>
        </w:rPr>
        <w:t>operator</w:t>
      </w:r>
      <w:r>
        <w:rPr>
          <w:sz w:val="21"/>
        </w:rPr>
        <w:t xml:space="preserve"> — SRE, support, finance, or compliance. You sign in at </w:t>
      </w:r>
      <w:r>
        <w:rPr>
          <w:b/>
          <w:sz w:val="21"/>
        </w:rPr>
        <w:t>/console</w:t>
      </w:r>
      <w:r>
        <w:rPr>
          <w:sz w:val="21"/>
        </w:rPr>
        <w:t xml:space="preserve"> (port 3100). This is a </w:t>
      </w:r>
      <w:r>
        <w:rPr>
          <w:b/>
          <w:sz w:val="21"/>
        </w:rPr>
        <w:t>platform-level identity</w:t>
      </w:r>
      <w:r>
        <w:rPr>
          <w:sz w:val="21"/>
        </w:rPr>
        <w:t>, distinct from any tenant identity: a tenant user cannot sign into the console, and you act across every tenant.</w:t>
      </w:r>
    </w:p>
    <w:p>
      <w:pPr>
        <w:pStyle w:val="Heading1"/>
      </w:pPr>
      <w:r>
        <w:rPr>
          <w:color w:val="1A51C7"/>
        </w:rPr>
        <w:t>What you operate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SDK / route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Tenants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Provision, browse, lifecycle (trial → active → suspend → offboard)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sdk-tenant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sdk-tenant-lifecycle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/admin/tenants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Pools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Capacity &amp; routing — add pools, flip placement, watch health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sdk-pool-router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Pricing catalogs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SKUs, soft/hard caps, catalog versioning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sdk-meter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Invoices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Review and issue per-tenant invoices from metered usage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sdk-billing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Webhooks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Replay platform DLQ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sdk-webhook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Approvals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Platform approval routes and pending requests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sdk-approval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Browse the SHA-256 hash-chained ledger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sdk-audit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Sovereign / On-prem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Sovereign regions, air-gapped installs, active-active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sdk-sovereign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sdk-onprem</w:t>
            </w:r>
          </w:p>
        </w:tc>
      </w:tr>
    </w:tbl>
    <w:p/>
    <w:p>
      <w:pPr>
        <w:pStyle w:val="Heading1"/>
      </w:pPr>
      <w:r>
        <w:rPr>
          <w:color w:val="1A51C7"/>
        </w:rPr>
        <w:t>Provisioning a tenant</w:t>
      </w:r>
    </w:p>
    <w:p>
      <w:pPr>
        <w:pStyle w:val="ListNumber"/>
      </w:pPr>
      <w:r>
        <w:rPr>
          <w:sz w:val="21"/>
        </w:rPr>
        <w:t xml:space="preserve">Ensure the parent </w:t>
      </w:r>
      <w:r>
        <w:rPr>
          <w:b/>
          <w:sz w:val="21"/>
        </w:rPr>
        <w:t>App</w:t>
      </w:r>
      <w:r>
        <w:rPr>
          <w:sz w:val="21"/>
        </w:rPr>
        <w:t xml:space="preserve"> exists (registered by ProjexCloud Admin). Create it first if none.</w:t>
      </w:r>
    </w:p>
    <w:p>
      <w:pPr>
        <w:pStyle w:val="ListNumber"/>
      </w:pPr>
      <w:r>
        <w:rPr>
          <w:sz w:val="21"/>
        </w:rPr>
        <w:t xml:space="preserve">Open </w:t>
      </w:r>
      <w:r>
        <w:rPr>
          <w:b/>
          <w:sz w:val="21"/>
        </w:rPr>
        <w:t>Tenants → New</w:t>
      </w:r>
      <w:r>
        <w:rPr>
          <w:sz w:val="21"/>
        </w:rPr>
        <w:t>, enter App ID, display name (company), region and isolation tier (S/P/G), optional brand domain.</w:t>
      </w:r>
    </w:p>
    <w:p>
      <w:pPr>
        <w:pStyle w:val="ListNumber"/>
      </w:pPr>
      <w:r>
        <w:rPr>
          <w:sz w:val="21"/>
        </w:rPr>
        <w:t xml:space="preserve">Submit — this writes </w:t>
      </w:r>
      <w:r>
        <w:rPr>
          <w:rFonts w:ascii="Consolas" w:hAnsi="Consolas"/>
          <w:color w:val="1A51C7"/>
          <w:sz w:val="21"/>
        </w:rPr>
        <w:t>tenant.tenant</w:t>
      </w:r>
      <w:r>
        <w:rPr>
          <w:sz w:val="21"/>
        </w:rPr>
        <w:t xml:space="preserve">, emits </w:t>
      </w:r>
      <w:r>
        <w:rPr>
          <w:rFonts w:ascii="Consolas" w:hAnsi="Consolas"/>
          <w:color w:val="1A51C7"/>
          <w:sz w:val="21"/>
        </w:rPr>
        <w:t>tenant.created.v1</w:t>
      </w:r>
      <w:r>
        <w:rPr>
          <w:sz w:val="21"/>
        </w:rPr>
        <w:t xml:space="preserve"> + </w:t>
      </w:r>
      <w:r>
        <w:rPr>
          <w:rFonts w:ascii="Consolas" w:hAnsi="Consolas"/>
          <w:color w:val="1A51C7"/>
          <w:sz w:val="21"/>
        </w:rPr>
        <w:t>tenant.pool.assigned.v1</w:t>
      </w:r>
      <w:r>
        <w:rPr>
          <w:sz w:val="21"/>
        </w:rPr>
        <w:t xml:space="preserve"> through the audit chain, and assigns pool placement.</w:t>
      </w:r>
    </w:p>
    <w:p>
      <w:pPr>
        <w:pStyle w:val="ListNumber"/>
      </w:pPr>
      <w:r>
        <w:rPr>
          <w:sz w:val="21"/>
        </w:rPr>
        <w:t>Hand the tenant to the customer; their first user becomes tenant admin.</w:t>
      </w:r>
    </w:p>
    <w:p>
      <w:pPr>
        <w:pStyle w:val="Heading1"/>
      </w:pPr>
      <w:r>
        <w:rPr>
          <w:color w:val="1A51C7"/>
        </w:rPr>
        <w:t>Authentication &amp; the current gap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0"/>
          </w:tcPr>
          <w:p>
            <w:r>
              <w:rPr>
                <w:b/>
                <w:color w:val="0B1220"/>
                <w:sz w:val="21"/>
              </w:rPr>
              <w:t xml:space="preserve">Read this before exposing the console.  </w:t>
            </w:r>
            <w:r>
              <w:rPr>
                <w:sz w:val="21"/>
              </w:rPr>
              <w:t xml:space="preserve">Privileged provisioning actions are gated by an </w:t>
            </w:r>
            <w:r>
              <w:rPr>
                <w:rFonts w:ascii="Consolas" w:hAnsi="Consolas"/>
                <w:color w:val="1A51C7"/>
                <w:sz w:val="21"/>
              </w:rPr>
              <w:t>ADMIN_OPS_TOKEN</w:t>
            </w:r>
            <w:r>
              <w:rPr>
                <w:sz w:val="21"/>
              </w:rPr>
              <w:t xml:space="preserve"> at the gateway, but the </w:t>
            </w:r>
            <w:r>
              <w:rPr>
                <w:b/>
                <w:sz w:val="21"/>
              </w:rPr>
              <w:t>console UI itself currently has no enforced login gate</w:t>
            </w:r>
            <w:r>
              <w:rPr>
                <w:sz w:val="21"/>
              </w:rPr>
              <w:t>. Until the portal auth middleware ships, restrict /console at the network edge (IP allow-list) so the server-held ops token is never reachable by an anonymous visitor. The Projexlight *Portal authentication middleware* feature tracks the fix.</w:t>
            </w:r>
          </w:p>
        </w:tc>
      </w:tr>
    </w:tbl>
    <w:p/>
    <w:p>
      <w:pPr>
        <w:pStyle w:val="Heading1"/>
      </w:pPr>
      <w:r>
        <w:rPr>
          <w:color w:val="1A51C7"/>
        </w:rPr>
        <w:t>Troubleshooting</w:t>
      </w:r>
    </w:p>
    <w:p>
      <w:pPr>
        <w:pStyle w:val="ListBullet"/>
      </w:pPr>
      <w:r>
        <w:rPr>
          <w:b/>
          <w:sz w:val="21"/>
        </w:rPr>
        <w:t>Provision fails</w:t>
      </w:r>
      <w:r>
        <w:rPr>
          <w:sz w:val="21"/>
        </w:rPr>
        <w:t xml:space="preserve"> — verify the App ID exists and the ops token is configured.</w:t>
      </w:r>
    </w:p>
    <w:p>
      <w:pPr>
        <w:pStyle w:val="ListBullet"/>
      </w:pPr>
      <w:r>
        <w:rPr>
          <w:b/>
          <w:sz w:val="21"/>
        </w:rPr>
        <w:t>Tenant lifecycle action blocked</w:t>
      </w:r>
      <w:r>
        <w:rPr>
          <w:sz w:val="21"/>
        </w:rPr>
        <w:t xml:space="preserve"> — some actions need a tenant-scoped JWT in addition to the ops token.</w:t>
      </w:r>
    </w:p>
    <w:p>
      <w:pPr>
        <w:pStyle w:val="ListBullet"/>
      </w:pPr>
      <w:r>
        <w:rPr>
          <w:b/>
          <w:sz w:val="21"/>
        </w:rPr>
        <w:t>Pool hot</w:t>
      </w:r>
      <w:r>
        <w:rPr>
          <w:sz w:val="21"/>
        </w:rPr>
        <w:t xml:space="preserve"> — add a pool and migrate tenants offline (staged dual-write → atomic cutover).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