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220"/>
          <w:sz w:val="48"/>
        </w:rPr>
        <w:t>Tenant Developer — Onboarding Guide</w:t>
      </w:r>
    </w:p>
    <w:p>
      <w:r>
        <w:rPr>
          <w:color w:val="5A6573"/>
          <w:sz w:val="25"/>
        </w:rPr>
        <w:t>Discover SDKs, compose a build, and deploy your application on the ProjexCloud backbone.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C"/>
          </w:tcPr>
          <w:p>
            <w:r>
              <w:rPr>
                <w:b/>
                <w:color w:val="0B1220"/>
                <w:sz w:val="21"/>
              </w:rPr>
              <w:t xml:space="preserve">Part of the onboarding suite.  </w:t>
            </w:r>
            <w:r>
              <w:rPr>
                <w:sz w:val="21"/>
              </w:rPr>
              <w:t xml:space="preserve">See </w:t>
            </w:r>
            <w:r>
              <w:rPr>
                <w:b/>
                <w:sz w:val="21"/>
              </w:rPr>
              <w:t>onboarding-overview</w:t>
            </w:r>
            <w:r>
              <w:rPr>
                <w:sz w:val="21"/>
              </w:rPr>
              <w:t xml:space="preserve"> for the three-portal model and the identity model. Persona guides: Tenant Admin, Tenant Developer, App User, Platform Admin, ProjexCloud Admin.</w:t>
            </w:r>
          </w:p>
        </w:tc>
      </w:tr>
    </w:tbl>
    <w:p/>
    <w:p>
      <w:pPr>
        <w:pStyle w:val="Heading1"/>
      </w:pPr>
      <w:r>
        <w:rPr>
          <w:color w:val="1A51C7"/>
        </w:rPr>
        <w:t>Who you are &amp; where you sign in</w:t>
      </w:r>
    </w:p>
    <w:p>
      <w:r>
        <w:rPr>
          <w:sz w:val="21"/>
        </w:rPr>
        <w:t xml:space="preserve">You build and operate applications for a tenant. You sign in at </w:t>
      </w:r>
      <w:r>
        <w:rPr>
          <w:b/>
          <w:sz w:val="21"/>
        </w:rPr>
        <w:t>/workspace</w:t>
      </w:r>
      <w:r>
        <w:rPr>
          <w:sz w:val="21"/>
        </w:rPr>
        <w:t xml:space="preserve"> (port 3300) with your ProjexCloud identity; your tenant membership carries a </w:t>
      </w:r>
      <w:r>
        <w:rPr>
          <w:b/>
          <w:sz w:val="21"/>
        </w:rPr>
        <w:t>developer/builder</w:t>
      </w:r>
      <w:r>
        <w:rPr>
          <w:sz w:val="21"/>
        </w:rPr>
        <w:t xml:space="preserve"> role. It is the same login you would use for Tenant Admin — only the role differs.</w:t>
      </w:r>
    </w:p>
    <w:p>
      <w:pPr>
        <w:pStyle w:val="Heading1"/>
      </w:pPr>
      <w:r>
        <w:rPr>
          <w:color w:val="1A51C7"/>
        </w:rPr>
        <w:t>Two ways to build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How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No-code / Workspace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Discover SDKs, compose a build plan in the browser, deploy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First app, prototypes, non-developers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CLI + MCP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npx @projexlight/cli init</w:t>
            </w:r>
            <w:r>
              <w:rPr>
                <w:sz w:val="19"/>
              </w:rPr>
              <w:t xml:space="preserve">, write code with your AI agent over MCP, </w:t>
            </w:r>
            <w:r>
              <w:rPr>
                <w:rFonts w:ascii="Consolas" w:hAnsi="Consolas"/>
                <w:color w:val="1A51C7"/>
                <w:sz w:val="19"/>
              </w:rPr>
              <w:t>projex deploy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Engineers, CI/CD, repeatable builds</w:t>
            </w:r>
          </w:p>
        </w:tc>
      </w:tr>
    </w:tbl>
    <w:p/>
    <w:p>
      <w:pPr>
        <w:pStyle w:val="Heading1"/>
      </w:pPr>
      <w:r>
        <w:rPr>
          <w:color w:val="1A51C7"/>
        </w:rPr>
        <w:t>The build flow</w:t>
      </w:r>
    </w:p>
    <w:p>
      <w:pPr>
        <w:pStyle w:val="ListNumber"/>
      </w:pPr>
      <w:r>
        <w:rPr>
          <w:sz w:val="21"/>
        </w:rPr>
        <w:t xml:space="preserve">Open Workspace and browse the </w:t>
      </w:r>
      <w:r>
        <w:rPr>
          <w:b/>
          <w:sz w:val="21"/>
        </w:rPr>
        <w:t>SDK registry</w:t>
      </w:r>
      <w:r>
        <w:rPr>
          <w:sz w:val="21"/>
        </w:rPr>
        <w:t xml:space="preserve"> (96 SDKs / 256 APIs) — search by intent ("metering", "evidence capture", "fleet dispatch").</w:t>
      </w:r>
    </w:p>
    <w:p>
      <w:pPr>
        <w:pStyle w:val="ListNumber"/>
      </w:pPr>
      <w:r>
        <w:rPr>
          <w:sz w:val="21"/>
        </w:rPr>
        <w:t xml:space="preserve">Compose a </w:t>
      </w:r>
      <w:r>
        <w:rPr>
          <w:b/>
          <w:sz w:val="21"/>
        </w:rPr>
        <w:t>build plan</w:t>
      </w:r>
      <w:r>
        <w:rPr>
          <w:sz w:val="21"/>
        </w:rPr>
        <w:t>: pick the SDK families your app needs; the planner wires identity, tenancy, metering, and audit for you.</w:t>
      </w:r>
    </w:p>
    <w:p>
      <w:pPr>
        <w:pStyle w:val="ListNumber"/>
      </w:pPr>
      <w:r>
        <w:rPr>
          <w:sz w:val="21"/>
        </w:rPr>
        <w:t xml:space="preserve">Implement domain logic — in Workspace or via the CLI with your coding agent connected through the </w:t>
      </w:r>
      <w:r>
        <w:rPr>
          <w:b/>
          <w:sz w:val="21"/>
        </w:rPr>
        <w:t>MCP bridge</w:t>
      </w:r>
      <w:r>
        <w:rPr>
          <w:sz w:val="21"/>
        </w:rPr>
        <w:t>.</w:t>
      </w:r>
    </w:p>
    <w:p>
      <w:pPr>
        <w:pStyle w:val="ListNumber"/>
      </w:pPr>
      <w:r>
        <w:rPr>
          <w:sz w:val="21"/>
        </w:rPr>
        <w:t xml:space="preserve">Validate against blueprints, tests and certification gates, then </w:t>
      </w:r>
      <w:r>
        <w:rPr>
          <w:b/>
          <w:sz w:val="21"/>
        </w:rPr>
        <w:t>deploy</w:t>
      </w:r>
      <w:r>
        <w:rPr>
          <w:sz w:val="21"/>
        </w:rPr>
        <w:t>.</w:t>
      </w:r>
    </w:p>
    <w:p>
      <w:pPr>
        <w:pStyle w:val="ListNumber"/>
      </w:pPr>
      <w:r>
        <w:rPr>
          <w:sz w:val="21"/>
        </w:rPr>
        <w:t>Operate: watch usage on the meter, traces, and diagnostics; iterate.</w:t>
      </w:r>
    </w:p>
    <w:p>
      <w:pPr>
        <w:pStyle w:val="Heading1"/>
      </w:pPr>
      <w:r>
        <w:rPr>
          <w:color w:val="1A51C7"/>
        </w:rPr>
        <w:t>Working with multiple developers (and multiple apps)</w:t>
      </w:r>
    </w:p>
    <w:p>
      <w:pPr>
        <w:pStyle w:val="ListBullet"/>
      </w:pPr>
      <w:r>
        <w:rPr>
          <w:sz w:val="21"/>
        </w:rPr>
        <w:t xml:space="preserve">Many developers collaborate inside the same app/tenant; </w:t>
      </w:r>
      <w:r>
        <w:rPr>
          <w:b/>
          <w:sz w:val="21"/>
        </w:rPr>
        <w:t>ReBAC</w:t>
      </w:r>
      <w:r>
        <w:rPr>
          <w:sz w:val="21"/>
        </w:rPr>
        <w:t xml:space="preserve"> (</w:t>
      </w:r>
      <w:r>
        <w:rPr>
          <w:rFonts w:ascii="Consolas" w:hAnsi="Consolas"/>
          <w:color w:val="1A51C7"/>
          <w:sz w:val="21"/>
        </w:rPr>
        <w:t>sdk-rebac</w:t>
      </w:r>
      <w:r>
        <w:rPr>
          <w:sz w:val="21"/>
        </w:rPr>
        <w:t xml:space="preserve">) and </w:t>
      </w:r>
      <w:r>
        <w:rPr>
          <w:b/>
          <w:sz w:val="21"/>
        </w:rPr>
        <w:t>ABAC policy</w:t>
      </w:r>
      <w:r>
        <w:rPr>
          <w:sz w:val="21"/>
        </w:rPr>
        <w:t xml:space="preserve"> (</w:t>
      </w:r>
      <w:r>
        <w:rPr>
          <w:rFonts w:ascii="Consolas" w:hAnsi="Consolas"/>
          <w:color w:val="1A51C7"/>
          <w:sz w:val="21"/>
        </w:rPr>
        <w:t>sdk-policy</w:t>
      </w:r>
      <w:r>
        <w:rPr>
          <w:sz w:val="21"/>
        </w:rPr>
        <w:t>) bound what each person can touch.</w:t>
      </w:r>
    </w:p>
    <w:p>
      <w:pPr>
        <w:pStyle w:val="ListBullet"/>
      </w:pPr>
      <w:r>
        <w:rPr>
          <w:sz w:val="21"/>
        </w:rPr>
        <w:t xml:space="preserve">Identities are shared at the person level but </w:t>
      </w:r>
      <w:r>
        <w:rPr>
          <w:b/>
          <w:sz w:val="21"/>
        </w:rPr>
        <w:t>isolated per app</w:t>
      </w:r>
      <w:r>
        <w:rPr>
          <w:sz w:val="21"/>
        </w:rPr>
        <w:t xml:space="preserve"> at L2/L3 — work on one app does not leak into another.</w:t>
      </w:r>
    </w:p>
    <w:p>
      <w:pPr>
        <w:pStyle w:val="ListBullet"/>
      </w:pPr>
      <w:r>
        <w:rPr>
          <w:sz w:val="21"/>
        </w:rPr>
        <w:t>Each app has its own data model and event namespace (</w:t>
      </w:r>
      <w:r>
        <w:rPr>
          <w:rFonts w:ascii="Consolas" w:hAnsi="Consolas"/>
          <w:color w:val="1A51C7"/>
          <w:sz w:val="21"/>
        </w:rPr>
        <w:t>app_id</w:t>
      </w:r>
      <w:r>
        <w:rPr>
          <w:sz w:val="21"/>
        </w:rPr>
        <w:t>); register a new App (via Platform Admin/onboarding) for each distinct product.</w:t>
      </w:r>
    </w:p>
    <w:p>
      <w:pPr>
        <w:pStyle w:val="ListBullet"/>
      </w:pPr>
      <w:r>
        <w:rPr>
          <w:sz w:val="21"/>
        </w:rPr>
        <w:t>Use Business Units and feature flags (</w:t>
      </w:r>
      <w:r>
        <w:rPr>
          <w:rFonts w:ascii="Consolas" w:hAnsi="Consolas"/>
          <w:color w:val="1A51C7"/>
          <w:sz w:val="21"/>
        </w:rPr>
        <w:t>sdk-feature-flags</w:t>
      </w:r>
      <w:r>
        <w:rPr>
          <w:sz w:val="21"/>
        </w:rPr>
        <w:t>) to stage rollouts and keep a kill-switch.</w:t>
      </w:r>
    </w:p>
    <w:p>
      <w:pPr>
        <w:pStyle w:val="Heading1"/>
      </w:pPr>
      <w:r>
        <w:rPr>
          <w:color w:val="1A51C7"/>
        </w:rPr>
        <w:t>Never store identity as strings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1E0"/>
          </w:tcPr>
          <w:p>
            <w:r>
              <w:rPr>
                <w:b/>
                <w:color w:val="0B1220"/>
                <w:sz w:val="21"/>
              </w:rPr>
              <w:t xml:space="preserve">The non-negotiable.  </w:t>
            </w:r>
            <w:r>
              <w:rPr>
                <w:sz w:val="21"/>
              </w:rPr>
              <w:t>No domain table stores a person’s name, address, device, or org as a primary string. Reference the canonical ID and the right identity layer (</w:t>
            </w:r>
            <w:r>
              <w:rPr>
                <w:rFonts w:ascii="Consolas" w:hAnsi="Consolas"/>
                <w:color w:val="1A51C7"/>
                <w:sz w:val="21"/>
              </w:rPr>
              <w:t>persona_id</w:t>
            </w:r>
            <w:r>
              <w:rPr>
                <w:sz w:val="21"/>
              </w:rPr>
              <w:t xml:space="preserve"> and above); fetch the name through the Persona/Profile SDKs with the access mesh on every call. A PR that adds a </w:t>
            </w:r>
            <w:r>
              <w:rPr>
                <w:rFonts w:ascii="Consolas" w:hAnsi="Consolas"/>
                <w:color w:val="1A51C7"/>
                <w:sz w:val="21"/>
              </w:rPr>
              <w:t>person_name</w:t>
            </w:r>
            <w:r>
              <w:rPr>
                <w:sz w:val="21"/>
              </w:rPr>
              <w:t xml:space="preserve"> column fails review.</w:t>
            </w:r>
          </w:p>
        </w:tc>
      </w:tr>
    </w:tbl>
    <w:p/>
    <w:p>
      <w:pPr>
        <w:pStyle w:val="Heading1"/>
      </w:pPr>
      <w:r>
        <w:rPr>
          <w:color w:val="1A51C7"/>
        </w:rPr>
        <w:t>Robotics developers — starter stack</w:t>
      </w:r>
    </w:p>
    <w:p>
      <w:r>
        <w:rPr>
          <w:sz w:val="21"/>
        </w:rPr>
        <w:t xml:space="preserve">For physical-AI / fleet apps, compose: </w:t>
      </w:r>
      <w:r>
        <w:rPr>
          <w:rFonts w:ascii="Consolas" w:hAnsi="Consolas"/>
          <w:color w:val="1A51C7"/>
          <w:sz w:val="21"/>
        </w:rPr>
        <w:t>sdk-device</w:t>
      </w:r>
      <w:r>
        <w:rPr>
          <w:sz w:val="21"/>
        </w:rPr>
        <w:t xml:space="preserve"> + </w:t>
      </w:r>
      <w:r>
        <w:rPr>
          <w:rFonts w:ascii="Consolas" w:hAnsi="Consolas"/>
          <w:color w:val="1A51C7"/>
          <w:sz w:val="21"/>
        </w:rPr>
        <w:t>hdk-camera</w:t>
      </w:r>
      <w:r>
        <w:rPr>
          <w:sz w:val="21"/>
        </w:rPr>
        <w:t xml:space="preserve"> (enroll &amp; attest robots), </w:t>
      </w:r>
      <w:r>
        <w:rPr>
          <w:rFonts w:ascii="Consolas" w:hAnsi="Consolas"/>
          <w:color w:val="1A51C7"/>
          <w:sz w:val="21"/>
        </w:rPr>
        <w:t>sdk-ingest</w:t>
      </w:r>
      <w:r>
        <w:rPr>
          <w:sz w:val="21"/>
        </w:rPr>
        <w:t xml:space="preserve"> (telemetry), </w:t>
      </w:r>
      <w:r>
        <w:rPr>
          <w:rFonts w:ascii="Consolas" w:hAnsi="Consolas"/>
          <w:color w:val="1A51C7"/>
          <w:sz w:val="21"/>
        </w:rPr>
        <w:t>sdk-meter</w:t>
      </w:r>
      <w:r>
        <w:rPr>
          <w:sz w:val="21"/>
        </w:rPr>
        <w:t xml:space="preserve"> (per-robot metering), </w:t>
      </w:r>
      <w:r>
        <w:rPr>
          <w:rFonts w:ascii="Consolas" w:hAnsi="Consolas"/>
          <w:color w:val="1A51C7"/>
          <w:sz w:val="21"/>
        </w:rPr>
        <w:t>sdk-geo</w:t>
      </w:r>
      <w:r>
        <w:rPr>
          <w:sz w:val="21"/>
        </w:rPr>
        <w:t>/</w:t>
      </w:r>
      <w:r>
        <w:rPr>
          <w:rFonts w:ascii="Consolas" w:hAnsi="Consolas"/>
          <w:color w:val="1A51C7"/>
          <w:sz w:val="21"/>
        </w:rPr>
        <w:t>sdk-dispatch</w:t>
      </w:r>
      <w:r>
        <w:rPr>
          <w:sz w:val="21"/>
        </w:rPr>
        <w:t>/</w:t>
      </w:r>
      <w:r>
        <w:rPr>
          <w:rFonts w:ascii="Consolas" w:hAnsi="Consolas"/>
          <w:color w:val="1A51C7"/>
          <w:sz w:val="21"/>
        </w:rPr>
        <w:t>sdk-assignment</w:t>
      </w:r>
      <w:r>
        <w:rPr>
          <w:sz w:val="21"/>
        </w:rPr>
        <w:t xml:space="preserve"> (locate &amp; task), </w:t>
      </w:r>
      <w:r>
        <w:rPr>
          <w:rFonts w:ascii="Consolas" w:hAnsi="Consolas"/>
          <w:color w:val="1A51C7"/>
          <w:sz w:val="21"/>
        </w:rPr>
        <w:t>sdk-evidence</w:t>
      </w:r>
      <w:r>
        <w:rPr>
          <w:sz w:val="21"/>
        </w:rPr>
        <w:t xml:space="preserve"> (capture), </w:t>
      </w:r>
      <w:r>
        <w:rPr>
          <w:rFonts w:ascii="Consolas" w:hAnsi="Consolas"/>
          <w:color w:val="1A51C7"/>
          <w:sz w:val="21"/>
        </w:rPr>
        <w:t>sdk-analytics</w:t>
      </w:r>
      <w:r>
        <w:rPr>
          <w:sz w:val="21"/>
        </w:rPr>
        <w:t>/</w:t>
      </w:r>
      <w:r>
        <w:rPr>
          <w:rFonts w:ascii="Consolas" w:hAnsi="Consolas"/>
          <w:color w:val="1A51C7"/>
          <w:sz w:val="21"/>
        </w:rPr>
        <w:t>sdk-diagnostic-telemetry</w:t>
      </w:r>
      <w:r>
        <w:rPr>
          <w:sz w:val="21"/>
        </w:rPr>
        <w:t xml:space="preserve"> (fleet health), </w:t>
      </w:r>
      <w:r>
        <w:rPr>
          <w:rFonts w:ascii="Consolas" w:hAnsi="Consolas"/>
          <w:color w:val="1A51C7"/>
          <w:sz w:val="21"/>
        </w:rPr>
        <w:t>sdk-audit</w:t>
      </w:r>
      <w:r>
        <w:rPr>
          <w:sz w:val="21"/>
        </w:rPr>
        <w:t>/</w:t>
      </w:r>
      <w:r>
        <w:rPr>
          <w:rFonts w:ascii="Consolas" w:hAnsi="Consolas"/>
          <w:color w:val="1A51C7"/>
          <w:sz w:val="21"/>
        </w:rPr>
        <w:t>sdk-approval</w:t>
      </w:r>
      <w:r>
        <w:rPr>
          <w:sz w:val="21"/>
        </w:rPr>
        <w:t xml:space="preserve"> (governance), </w:t>
      </w:r>
      <w:r>
        <w:rPr>
          <w:rFonts w:ascii="Consolas" w:hAnsi="Consolas"/>
          <w:color w:val="1A51C7"/>
          <w:sz w:val="21"/>
        </w:rPr>
        <w:t>sdk-ai-gateway</w:t>
      </w:r>
      <w:r>
        <w:rPr>
          <w:sz w:val="21"/>
        </w:rPr>
        <w:t>/</w:t>
      </w:r>
      <w:r>
        <w:rPr>
          <w:rFonts w:ascii="Consolas" w:hAnsi="Consolas"/>
          <w:color w:val="1A51C7"/>
          <w:sz w:val="21"/>
        </w:rPr>
        <w:t>sdk-agent-runtime</w:t>
      </w:r>
      <w:r>
        <w:rPr>
          <w:sz w:val="21"/>
        </w:rPr>
        <w:t xml:space="preserve"> (autonomy), </w:t>
      </w:r>
      <w:r>
        <w:rPr>
          <w:rFonts w:ascii="Consolas" w:hAnsi="Consolas"/>
          <w:color w:val="1A51C7"/>
          <w:sz w:val="21"/>
        </w:rPr>
        <w:t>sdk-pool-router</w:t>
      </w:r>
      <w:r>
        <w:rPr>
          <w:sz w:val="21"/>
        </w:rPr>
        <w:t xml:space="preserve"> (scale). See the overview’s robotics example for sample data shapes.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