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pPr>
      <w:r w:rsidDel="00000000" w:rsidR="00000000" w:rsidRPr="00000000">
        <w:rPr>
          <w:rtl w:val="0"/>
        </w:rPr>
        <w:t xml:space="preserve">In Java's Spring Framework, a web service can simultaneously produce both JSON and XML responses using </w:t>
      </w:r>
      <w:r w:rsidDel="00000000" w:rsidR="00000000" w:rsidRPr="00000000">
        <w:rPr>
          <w:b w:val="1"/>
          <w:rtl w:val="0"/>
        </w:rPr>
        <w:t xml:space="preserve">content negotiation</w:t>
      </w:r>
      <w:r w:rsidDel="00000000" w:rsidR="00000000" w:rsidRPr="00000000">
        <w:rPr>
          <w:rtl w:val="0"/>
        </w:rPr>
        <w:t xml:space="preserve">. Spring provides tools to determine the desired response format (JSON or XML) based on client requests, such as the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header, query parameters, or file extensions.</w:t>
      </w:r>
    </w:p>
    <w:p w:rsidR="00000000" w:rsidDel="00000000" w:rsidP="00000000" w:rsidRDefault="00000000" w:rsidRPr="00000000" w14:paraId="00000002">
      <w:pPr>
        <w:spacing w:after="240" w:before="24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360" w:lineRule="auto"/>
        <w:rPr>
          <w:b w:val="1"/>
          <w:color w:val="000000"/>
          <w:sz w:val="26"/>
          <w:szCs w:val="26"/>
        </w:rPr>
      </w:pPr>
      <w:bookmarkStart w:colFirst="0" w:colLast="0" w:name="_gk4e6m1oadp0" w:id="0"/>
      <w:bookmarkEnd w:id="0"/>
      <w:r w:rsidDel="00000000" w:rsidR="00000000" w:rsidRPr="00000000">
        <w:rPr>
          <w:b w:val="1"/>
          <w:color w:val="000000"/>
          <w:sz w:val="26"/>
          <w:szCs w:val="26"/>
          <w:rtl w:val="0"/>
        </w:rPr>
        <w:t xml:space="preserve">Steps to Produce JSON and XML Simultaneously</w:t>
      </w:r>
    </w:p>
    <w:p w:rsidR="00000000" w:rsidDel="00000000" w:rsidP="00000000" w:rsidRDefault="00000000" w:rsidRPr="00000000" w14:paraId="00000004">
      <w:pPr>
        <w:numPr>
          <w:ilvl w:val="0"/>
          <w:numId w:val="10"/>
        </w:numPr>
        <w:spacing w:after="240" w:before="240" w:line="360" w:lineRule="auto"/>
        <w:ind w:left="720" w:hanging="360"/>
      </w:pPr>
      <w:r w:rsidDel="00000000" w:rsidR="00000000" w:rsidRPr="00000000">
        <w:rPr>
          <w:b w:val="1"/>
          <w:rtl w:val="0"/>
        </w:rPr>
        <w:t xml:space="preserve">Add Dependencies</w:t>
      </w:r>
      <w:r w:rsidDel="00000000" w:rsidR="00000000" w:rsidRPr="00000000">
        <w:rPr>
          <w:rtl w:val="0"/>
        </w:rPr>
        <w:t xml:space="preserve"> Ensure your project includes dependencies for both JSON and XML message converters. For example, in a Maven-based Spring project:</w:t>
      </w:r>
    </w:p>
    <w:p w:rsidR="00000000" w:rsidDel="00000000" w:rsidP="00000000" w:rsidRDefault="00000000" w:rsidRPr="00000000" w14:paraId="00000005">
      <w:pPr>
        <w:spacing w:after="240" w:before="240" w:line="360" w:lineRule="auto"/>
        <w:rPr>
          <w:b w:val="1"/>
        </w:rPr>
      </w:pPr>
      <w:r w:rsidDel="00000000" w:rsidR="00000000" w:rsidRPr="00000000">
        <w:rPr>
          <w:b w:val="1"/>
          <w:rtl w:val="0"/>
        </w:rPr>
        <w:t xml:space="preserve">Maven Dependencies</w:t>
      </w:r>
    </w:p>
    <w:p w:rsidR="00000000" w:rsidDel="00000000" w:rsidP="00000000" w:rsidRDefault="00000000" w:rsidRPr="00000000" w14:paraId="00000006">
      <w:pPr>
        <w:spacing w:after="240" w:before="240" w:line="360" w:lineRule="auto"/>
        <w:rPr/>
      </w:pPr>
      <w:r w:rsidDel="00000000" w:rsidR="00000000" w:rsidRPr="00000000">
        <w:rPr/>
        <w:drawing>
          <wp:inline distB="114300" distT="114300" distL="114300" distR="114300">
            <wp:extent cx="5943600" cy="373380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480" w:lineRule="auto"/>
        <w:rPr/>
      </w:pPr>
      <w:r w:rsidDel="00000000" w:rsidR="00000000" w:rsidRPr="00000000">
        <w:rPr>
          <w:rtl w:val="0"/>
        </w:rPr>
      </w:r>
    </w:p>
    <w:p w:rsidR="00000000" w:rsidDel="00000000" w:rsidP="00000000" w:rsidRDefault="00000000" w:rsidRPr="00000000" w14:paraId="00000009">
      <w:pPr>
        <w:numPr>
          <w:ilvl w:val="0"/>
          <w:numId w:val="9"/>
        </w:numPr>
        <w:spacing w:after="240" w:before="240" w:line="360" w:lineRule="auto"/>
        <w:ind w:left="720" w:hanging="360"/>
      </w:pPr>
      <w:r w:rsidDel="00000000" w:rsidR="00000000" w:rsidRPr="00000000">
        <w:rPr>
          <w:b w:val="1"/>
          <w:rtl w:val="0"/>
        </w:rPr>
        <w:t xml:space="preserve">Configure Your Spring Boot Application</w:t>
      </w:r>
    </w:p>
    <w:p w:rsidR="00000000" w:rsidDel="00000000" w:rsidP="00000000" w:rsidRDefault="00000000" w:rsidRPr="00000000" w14:paraId="0000000A">
      <w:pPr>
        <w:spacing w:after="240" w:before="240" w:line="360" w:lineRule="auto"/>
        <w:rPr/>
      </w:pPr>
      <w:r w:rsidDel="00000000" w:rsidR="00000000" w:rsidRPr="00000000">
        <w:rPr>
          <w:rtl w:val="0"/>
        </w:rPr>
        <w:t xml:space="preserve">Spring Boot auto-configures message converters for both JSON and XML if the necessary dependencies are present. These message converters handle the serialization of Java objects into JSON or XML, depending on the request.</w:t>
      </w:r>
    </w:p>
    <w:p w:rsidR="00000000" w:rsidDel="00000000" w:rsidP="00000000" w:rsidRDefault="00000000" w:rsidRPr="00000000" w14:paraId="0000000B">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numPr>
          <w:ilvl w:val="0"/>
          <w:numId w:val="11"/>
        </w:numPr>
        <w:spacing w:after="240" w:before="240" w:line="360" w:lineRule="auto"/>
        <w:ind w:left="720" w:hanging="360"/>
      </w:pPr>
      <w:r w:rsidDel="00000000" w:rsidR="00000000" w:rsidRPr="00000000">
        <w:rPr>
          <w:b w:val="1"/>
          <w:rtl w:val="0"/>
        </w:rPr>
        <w:t xml:space="preserve">Define a Model</w:t>
      </w:r>
    </w:p>
    <w:p w:rsidR="00000000" w:rsidDel="00000000" w:rsidP="00000000" w:rsidRDefault="00000000" w:rsidRPr="00000000" w14:paraId="0000000D">
      <w:pPr>
        <w:spacing w:after="240" w:before="240" w:line="360" w:lineRule="auto"/>
        <w:rPr/>
      </w:pPr>
      <w:r w:rsidDel="00000000" w:rsidR="00000000" w:rsidRPr="00000000">
        <w:rPr>
          <w:rtl w:val="0"/>
        </w:rPr>
        <w:t xml:space="preserve">Create a POJO to represent your data.</w:t>
      </w:r>
    </w:p>
    <w:p w:rsidR="00000000" w:rsidDel="00000000" w:rsidP="00000000" w:rsidRDefault="00000000" w:rsidRPr="00000000" w14:paraId="0000000E">
      <w:pPr>
        <w:spacing w:after="240" w:before="240" w:line="360" w:lineRule="auto"/>
        <w:rPr/>
      </w:pPr>
      <w:r w:rsidDel="00000000" w:rsidR="00000000" w:rsidRPr="00000000">
        <w:rPr/>
        <w:drawing>
          <wp:inline distB="114300" distT="114300" distL="114300" distR="114300">
            <wp:extent cx="5943600" cy="523240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numPr>
          <w:ilvl w:val="0"/>
          <w:numId w:val="7"/>
        </w:numPr>
        <w:spacing w:after="240" w:before="240" w:line="360" w:lineRule="auto"/>
        <w:ind w:left="720" w:hanging="360"/>
      </w:pPr>
      <w:r w:rsidDel="00000000" w:rsidR="00000000" w:rsidRPr="00000000">
        <w:rPr>
          <w:b w:val="1"/>
          <w:rtl w:val="0"/>
        </w:rPr>
        <w:t xml:space="preserve">Create a Controller</w:t>
      </w:r>
    </w:p>
    <w:p w:rsidR="00000000" w:rsidDel="00000000" w:rsidP="00000000" w:rsidRDefault="00000000" w:rsidRPr="00000000" w14:paraId="00000011">
      <w:pPr>
        <w:spacing w:after="240" w:before="240" w:line="360" w:lineRule="auto"/>
        <w:rPr/>
      </w:pPr>
      <w:r w:rsidDel="00000000" w:rsidR="00000000" w:rsidRPr="00000000">
        <w:rPr>
          <w:rtl w:val="0"/>
        </w:rPr>
        <w:t xml:space="preserve">Define a REST controller to handle HTTP requests and respond with JSON or XML based on the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header.</w:t>
      </w:r>
    </w:p>
    <w:p w:rsidR="00000000" w:rsidDel="00000000" w:rsidP="00000000" w:rsidRDefault="00000000" w:rsidRPr="00000000" w14:paraId="00000012">
      <w:pPr>
        <w:spacing w:after="240" w:before="240" w:line="360" w:lineRule="auto"/>
        <w:rPr/>
      </w:pPr>
      <w:r w:rsidDel="00000000" w:rsidR="00000000" w:rsidRPr="00000000">
        <w:rPr/>
        <w:drawing>
          <wp:inline distB="114300" distT="114300" distL="114300" distR="114300">
            <wp:extent cx="5943600" cy="36449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numPr>
          <w:ilvl w:val="0"/>
          <w:numId w:val="5"/>
        </w:numPr>
        <w:spacing w:after="0" w:afterAutospacing="0" w:before="240" w:line="480" w:lineRule="auto"/>
        <w:ind w:left="720" w:hanging="360"/>
      </w:pPr>
      <w:r w:rsidDel="00000000" w:rsidR="00000000" w:rsidRPr="00000000">
        <w:rPr>
          <w:b w:val="1"/>
          <w:rtl w:val="0"/>
        </w:rPr>
        <w:t xml:space="preserve">How It Works</w:t>
      </w:r>
    </w:p>
    <w:p w:rsidR="00000000" w:rsidDel="00000000" w:rsidP="00000000" w:rsidRDefault="00000000" w:rsidRPr="00000000" w14:paraId="00000015">
      <w:pPr>
        <w:numPr>
          <w:ilvl w:val="0"/>
          <w:numId w:val="3"/>
        </w:numPr>
        <w:spacing w:after="0" w:afterAutospacing="0" w:before="0" w:beforeAutospacing="0" w:line="360" w:lineRule="auto"/>
        <w:ind w:left="720" w:hanging="360"/>
      </w:pPr>
      <w:r w:rsidDel="00000000" w:rsidR="00000000" w:rsidRPr="00000000">
        <w:rPr>
          <w:b w:val="1"/>
          <w:rtl w:val="0"/>
        </w:rPr>
        <w:t xml:space="preserve">Content Negotiation</w:t>
      </w:r>
      <w:r w:rsidDel="00000000" w:rsidR="00000000" w:rsidRPr="00000000">
        <w:rPr>
          <w:rtl w:val="0"/>
        </w:rPr>
        <w:t xml:space="preserve">:</w:t>
      </w:r>
    </w:p>
    <w:p w:rsidR="00000000" w:rsidDel="00000000" w:rsidP="00000000" w:rsidRDefault="00000000" w:rsidRPr="00000000" w14:paraId="00000016">
      <w:pPr>
        <w:numPr>
          <w:ilvl w:val="1"/>
          <w:numId w:val="3"/>
        </w:numPr>
        <w:spacing w:after="0" w:afterAutospacing="0" w:before="0" w:beforeAutospacing="0" w:line="360" w:lineRule="auto"/>
        <w:ind w:left="1440" w:hanging="360"/>
      </w:pPr>
      <w:r w:rsidDel="00000000" w:rsidR="00000000" w:rsidRPr="00000000">
        <w:rPr>
          <w:rtl w:val="0"/>
        </w:rPr>
        <w:t xml:space="preserve">The client specifies the desired format using the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header.</w:t>
      </w:r>
    </w:p>
    <w:p w:rsidR="00000000" w:rsidDel="00000000" w:rsidP="00000000" w:rsidRDefault="00000000" w:rsidRPr="00000000" w14:paraId="00000017">
      <w:pPr>
        <w:numPr>
          <w:ilvl w:val="2"/>
          <w:numId w:val="3"/>
        </w:numPr>
        <w:spacing w:after="0" w:afterAutospacing="0" w:before="0" w:beforeAutospacing="0" w:line="360" w:lineRule="auto"/>
        <w:ind w:left="2160" w:hanging="360"/>
      </w:pPr>
      <w:r w:rsidDel="00000000" w:rsidR="00000000" w:rsidRPr="00000000">
        <w:rPr>
          <w:rtl w:val="0"/>
        </w:rPr>
        <w:t xml:space="preserve">For JSON: </w:t>
      </w:r>
      <w:r w:rsidDel="00000000" w:rsidR="00000000" w:rsidRPr="00000000">
        <w:rPr>
          <w:rFonts w:ascii="Roboto Mono" w:cs="Roboto Mono" w:eastAsia="Roboto Mono" w:hAnsi="Roboto Mono"/>
          <w:color w:val="188038"/>
          <w:rtl w:val="0"/>
        </w:rPr>
        <w:t xml:space="preserve">Accept: application/json</w:t>
      </w:r>
    </w:p>
    <w:p w:rsidR="00000000" w:rsidDel="00000000" w:rsidP="00000000" w:rsidRDefault="00000000" w:rsidRPr="00000000" w14:paraId="00000018">
      <w:pPr>
        <w:numPr>
          <w:ilvl w:val="2"/>
          <w:numId w:val="3"/>
        </w:numPr>
        <w:spacing w:after="0" w:afterAutospacing="0" w:before="0" w:beforeAutospacing="0" w:line="360" w:lineRule="auto"/>
        <w:ind w:left="2160" w:hanging="360"/>
      </w:pPr>
      <w:r w:rsidDel="00000000" w:rsidR="00000000" w:rsidRPr="00000000">
        <w:rPr>
          <w:rtl w:val="0"/>
        </w:rPr>
        <w:t xml:space="preserve">For XML: </w:t>
      </w:r>
      <w:r w:rsidDel="00000000" w:rsidR="00000000" w:rsidRPr="00000000">
        <w:rPr>
          <w:rFonts w:ascii="Roboto Mono" w:cs="Roboto Mono" w:eastAsia="Roboto Mono" w:hAnsi="Roboto Mono"/>
          <w:color w:val="188038"/>
          <w:rtl w:val="0"/>
        </w:rPr>
        <w:t xml:space="preserve">Accept: application/xml</w:t>
      </w:r>
    </w:p>
    <w:p w:rsidR="00000000" w:rsidDel="00000000" w:rsidP="00000000" w:rsidRDefault="00000000" w:rsidRPr="00000000" w14:paraId="00000019">
      <w:pPr>
        <w:numPr>
          <w:ilvl w:val="1"/>
          <w:numId w:val="3"/>
        </w:numPr>
        <w:spacing w:after="240" w:before="0" w:beforeAutospacing="0" w:line="360" w:lineRule="auto"/>
        <w:ind w:left="1440" w:hanging="360"/>
      </w:pPr>
      <w:r w:rsidDel="00000000" w:rsidR="00000000" w:rsidRPr="00000000">
        <w:rPr>
          <w:rtl w:val="0"/>
        </w:rPr>
        <w:t xml:space="preserve">Spring uses the appropriate </w:t>
      </w:r>
      <w:r w:rsidDel="00000000" w:rsidR="00000000" w:rsidRPr="00000000">
        <w:rPr>
          <w:rFonts w:ascii="Roboto Mono" w:cs="Roboto Mono" w:eastAsia="Roboto Mono" w:hAnsi="Roboto Mono"/>
          <w:color w:val="188038"/>
          <w:rtl w:val="0"/>
        </w:rPr>
        <w:t xml:space="preserve">HttpMessageConverter</w:t>
      </w:r>
      <w:r w:rsidDel="00000000" w:rsidR="00000000" w:rsidRPr="00000000">
        <w:rPr>
          <w:rtl w:val="0"/>
        </w:rPr>
        <w:t xml:space="preserve"> to serialize the response.</w:t>
      </w:r>
    </w:p>
    <w:p w:rsidR="00000000" w:rsidDel="00000000" w:rsidP="00000000" w:rsidRDefault="00000000" w:rsidRPr="00000000" w14:paraId="0000001A">
      <w:pPr>
        <w:spacing w:after="240" w:before="24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480" w:lineRule="auto"/>
        <w:rPr/>
      </w:pPr>
      <w:r w:rsidDel="00000000" w:rsidR="00000000" w:rsidRPr="00000000">
        <w:rPr>
          <w:rtl w:val="0"/>
        </w:rPr>
      </w:r>
    </w:p>
    <w:p w:rsidR="00000000" w:rsidDel="00000000" w:rsidP="00000000" w:rsidRDefault="00000000" w:rsidRPr="00000000" w14:paraId="0000001C">
      <w:pPr>
        <w:numPr>
          <w:ilvl w:val="0"/>
          <w:numId w:val="1"/>
        </w:numPr>
        <w:spacing w:after="0" w:afterAutospacing="0" w:before="240" w:line="480" w:lineRule="auto"/>
        <w:ind w:left="720" w:hanging="360"/>
      </w:pPr>
      <w:r w:rsidDel="00000000" w:rsidR="00000000" w:rsidRPr="00000000">
        <w:rPr>
          <w:b w:val="1"/>
          <w:rtl w:val="0"/>
        </w:rPr>
        <w:t xml:space="preserve">Testing the Endpoint</w:t>
      </w:r>
    </w:p>
    <w:p w:rsidR="00000000" w:rsidDel="00000000" w:rsidP="00000000" w:rsidRDefault="00000000" w:rsidRPr="00000000" w14:paraId="0000001D">
      <w:pPr>
        <w:numPr>
          <w:ilvl w:val="0"/>
          <w:numId w:val="8"/>
        </w:numPr>
        <w:spacing w:after="0" w:afterAutospacing="0" w:before="0" w:beforeAutospacing="0" w:line="360" w:lineRule="auto"/>
        <w:ind w:left="720" w:hanging="360"/>
        <w:rPr>
          <w:u w:val="none"/>
        </w:rPr>
      </w:pPr>
      <w:r w:rsidDel="00000000" w:rsidR="00000000" w:rsidRPr="00000000">
        <w:rPr>
          <w:b w:val="1"/>
          <w:rtl w:val="0"/>
        </w:rPr>
        <w:t xml:space="preserve">Request for JSON</w:t>
      </w:r>
      <w:r w:rsidDel="00000000" w:rsidR="00000000" w:rsidRPr="00000000">
        <w:rPr>
          <w:rtl w:val="0"/>
        </w:rPr>
        <w:t xml:space="preserve">:</w:t>
        <w:br w:type="textWrapping"/>
      </w:r>
      <w:r w:rsidDel="00000000" w:rsidR="00000000" w:rsidRPr="00000000">
        <w:rPr/>
        <w:drawing>
          <wp:inline distB="114300" distT="114300" distL="114300" distR="114300">
            <wp:extent cx="5943600" cy="5715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8"/>
        </w:numPr>
        <w:spacing w:after="0" w:afterAutospacing="0" w:before="0" w:beforeAutospacing="0" w:line="360" w:lineRule="auto"/>
        <w:ind w:left="720" w:hanging="360"/>
        <w:rPr>
          <w:u w:val="none"/>
        </w:rPr>
      </w:pPr>
      <w:r w:rsidDel="00000000" w:rsidR="00000000" w:rsidRPr="00000000">
        <w:rPr>
          <w:b w:val="1"/>
          <w:rtl w:val="0"/>
        </w:rPr>
        <w:t xml:space="preserve">Response</w:t>
      </w:r>
      <w:r w:rsidDel="00000000" w:rsidR="00000000" w:rsidRPr="00000000">
        <w:rPr>
          <w:rtl w:val="0"/>
        </w:rPr>
        <w:t xml:space="preserve">:</w:t>
        <w:br w:type="textWrapping"/>
      </w:r>
      <w:r w:rsidDel="00000000" w:rsidR="00000000" w:rsidRPr="00000000">
        <w:rPr/>
        <w:drawing>
          <wp:inline distB="114300" distT="114300" distL="114300" distR="114300">
            <wp:extent cx="5943600" cy="11938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4"/>
        </w:numPr>
        <w:spacing w:after="240" w:before="200" w:line="360" w:lineRule="auto"/>
        <w:ind w:left="720" w:hanging="360"/>
        <w:rPr>
          <w:u w:val="none"/>
        </w:rPr>
      </w:pPr>
      <w:r w:rsidDel="00000000" w:rsidR="00000000" w:rsidRPr="00000000">
        <w:rPr>
          <w:b w:val="1"/>
          <w:rtl w:val="0"/>
        </w:rPr>
        <w:t xml:space="preserve">Request for XML</w:t>
      </w:r>
      <w:r w:rsidDel="00000000" w:rsidR="00000000" w:rsidRPr="00000000">
        <w:rPr>
          <w:rtl w:val="0"/>
        </w:rPr>
        <w:t xml:space="preserve">:</w:t>
        <w:br w:type="textWrapping"/>
      </w:r>
      <w:r w:rsidDel="00000000" w:rsidR="00000000" w:rsidRPr="00000000">
        <w:rPr/>
        <w:drawing>
          <wp:inline distB="114300" distT="114300" distL="114300" distR="114300">
            <wp:extent cx="5943600" cy="571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4"/>
        </w:numPr>
        <w:spacing w:after="240" w:before="240" w:line="360" w:lineRule="auto"/>
        <w:ind w:left="720" w:hanging="360"/>
        <w:rPr>
          <w:u w:val="none"/>
        </w:rPr>
      </w:pPr>
      <w:r w:rsidDel="00000000" w:rsidR="00000000" w:rsidRPr="00000000">
        <w:rPr>
          <w:b w:val="1"/>
          <w:rtl w:val="0"/>
        </w:rPr>
        <w:t xml:space="preserve">Response</w:t>
      </w:r>
      <w:r w:rsidDel="00000000" w:rsidR="00000000" w:rsidRPr="00000000">
        <w:rPr>
          <w:rtl w:val="0"/>
        </w:rPr>
        <w:t xml:space="preserve">:</w:t>
        <w:br w:type="textWrapping"/>
      </w:r>
      <w:r w:rsidDel="00000000" w:rsidR="00000000" w:rsidRPr="00000000">
        <w:rPr/>
        <w:drawing>
          <wp:inline distB="114300" distT="114300" distL="114300" distR="114300">
            <wp:extent cx="5943600" cy="11811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360" w:lineRule="auto"/>
        <w:rPr>
          <w:b w:val="1"/>
          <w:color w:val="000000"/>
          <w:sz w:val="26"/>
          <w:szCs w:val="26"/>
        </w:rPr>
      </w:pPr>
      <w:bookmarkStart w:colFirst="0" w:colLast="0" w:name="_t08berwlz5f8" w:id="1"/>
      <w:bookmarkEnd w:id="1"/>
      <w:r w:rsidDel="00000000" w:rsidR="00000000" w:rsidRPr="00000000">
        <w:rPr>
          <w:rtl w:val="0"/>
        </w:rPr>
      </w:r>
    </w:p>
    <w:p w:rsidR="00000000" w:rsidDel="00000000" w:rsidP="00000000" w:rsidRDefault="00000000" w:rsidRPr="00000000" w14:paraId="00000023">
      <w:pPr>
        <w:pStyle w:val="Heading3"/>
        <w:keepNext w:val="0"/>
        <w:keepLines w:val="0"/>
        <w:spacing w:before="280" w:line="360" w:lineRule="auto"/>
        <w:rPr>
          <w:b w:val="1"/>
          <w:color w:val="000000"/>
          <w:sz w:val="26"/>
          <w:szCs w:val="26"/>
        </w:rPr>
      </w:pPr>
      <w:bookmarkStart w:colFirst="0" w:colLast="0" w:name="_9mmjq9fw999" w:id="2"/>
      <w:bookmarkEnd w:id="2"/>
      <w:r w:rsidDel="00000000" w:rsidR="00000000" w:rsidRPr="00000000">
        <w:rPr>
          <w:rtl w:val="0"/>
        </w:rPr>
      </w:r>
    </w:p>
    <w:p w:rsidR="00000000" w:rsidDel="00000000" w:rsidP="00000000" w:rsidRDefault="00000000" w:rsidRPr="00000000" w14:paraId="00000024">
      <w:pPr>
        <w:pStyle w:val="Heading3"/>
        <w:keepNext w:val="0"/>
        <w:keepLines w:val="0"/>
        <w:spacing w:before="280" w:line="360" w:lineRule="auto"/>
        <w:rPr>
          <w:b w:val="1"/>
          <w:color w:val="000000"/>
          <w:sz w:val="26"/>
          <w:szCs w:val="26"/>
        </w:rPr>
      </w:pPr>
      <w:bookmarkStart w:colFirst="0" w:colLast="0" w:name="_9ldza4kicups" w:id="3"/>
      <w:bookmarkEnd w:id="3"/>
      <w:r w:rsidDel="00000000" w:rsidR="00000000" w:rsidRPr="00000000">
        <w:rPr>
          <w:rtl w:val="0"/>
        </w:rPr>
      </w:r>
    </w:p>
    <w:p w:rsidR="00000000" w:rsidDel="00000000" w:rsidP="00000000" w:rsidRDefault="00000000" w:rsidRPr="00000000" w14:paraId="00000025">
      <w:pPr>
        <w:pStyle w:val="Heading3"/>
        <w:keepNext w:val="0"/>
        <w:keepLines w:val="0"/>
        <w:spacing w:before="280" w:line="360" w:lineRule="auto"/>
        <w:rPr>
          <w:b w:val="1"/>
          <w:color w:val="000000"/>
          <w:sz w:val="26"/>
          <w:szCs w:val="26"/>
        </w:rPr>
      </w:pPr>
      <w:bookmarkStart w:colFirst="0" w:colLast="0" w:name="_is6ibuozxfgw" w:id="4"/>
      <w:bookmarkEnd w:id="4"/>
      <w:r w:rsidDel="00000000" w:rsidR="00000000" w:rsidRPr="00000000">
        <w:rPr>
          <w:rtl w:val="0"/>
        </w:rPr>
      </w:r>
    </w:p>
    <w:p w:rsidR="00000000" w:rsidDel="00000000" w:rsidP="00000000" w:rsidRDefault="00000000" w:rsidRPr="00000000" w14:paraId="00000026">
      <w:pPr>
        <w:pStyle w:val="Heading3"/>
        <w:keepNext w:val="0"/>
        <w:keepLines w:val="0"/>
        <w:spacing w:before="280" w:line="360" w:lineRule="auto"/>
        <w:rPr>
          <w:b w:val="1"/>
          <w:color w:val="000000"/>
          <w:sz w:val="26"/>
          <w:szCs w:val="26"/>
        </w:rPr>
      </w:pPr>
      <w:bookmarkStart w:colFirst="0" w:colLast="0" w:name="_v1hqbsrzhize" w:id="5"/>
      <w:bookmarkEnd w:id="5"/>
      <w:r w:rsidDel="00000000" w:rsidR="00000000" w:rsidRPr="00000000">
        <w:rPr>
          <w:b w:val="1"/>
          <w:color w:val="000000"/>
          <w:sz w:val="26"/>
          <w:szCs w:val="26"/>
          <w:rtl w:val="0"/>
        </w:rPr>
        <w:t xml:space="preserve">Advanced Customization</w:t>
      </w:r>
    </w:p>
    <w:p w:rsidR="00000000" w:rsidDel="00000000" w:rsidP="00000000" w:rsidRDefault="00000000" w:rsidRPr="00000000" w14:paraId="00000027">
      <w:pPr>
        <w:numPr>
          <w:ilvl w:val="0"/>
          <w:numId w:val="6"/>
        </w:numPr>
        <w:spacing w:after="240" w:before="240" w:line="360" w:lineRule="auto"/>
        <w:ind w:left="720" w:hanging="360"/>
      </w:pPr>
      <w:r w:rsidDel="00000000" w:rsidR="00000000" w:rsidRPr="00000000">
        <w:rPr>
          <w:b w:val="1"/>
          <w:rtl w:val="0"/>
        </w:rPr>
        <w:t xml:space="preserve">Customizing Message Converters</w:t>
      </w:r>
      <w:r w:rsidDel="00000000" w:rsidR="00000000" w:rsidRPr="00000000">
        <w:rPr>
          <w:rtl w:val="0"/>
        </w:rPr>
        <w:t xml:space="preserve"> If you need custom serialization or additional converters, you can configure them in </w:t>
      </w:r>
      <w:r w:rsidDel="00000000" w:rsidR="00000000" w:rsidRPr="00000000">
        <w:rPr>
          <w:rFonts w:ascii="Roboto Mono" w:cs="Roboto Mono" w:eastAsia="Roboto Mono" w:hAnsi="Roboto Mono"/>
          <w:color w:val="188038"/>
          <w:rtl w:val="0"/>
        </w:rPr>
        <w:t xml:space="preserve">WebMvcConfigurer</w:t>
      </w:r>
      <w:r w:rsidDel="00000000" w:rsidR="00000000" w:rsidRPr="00000000">
        <w:rPr>
          <w:rtl w:val="0"/>
        </w:rPr>
        <w:t xml:space="preserve">.</w:t>
      </w:r>
    </w:p>
    <w:p w:rsidR="00000000" w:rsidDel="00000000" w:rsidP="00000000" w:rsidRDefault="00000000" w:rsidRPr="00000000" w14:paraId="00000028">
      <w:pPr>
        <w:spacing w:after="240" w:before="240" w:line="360" w:lineRule="auto"/>
        <w:rPr/>
      </w:pPr>
      <w:r w:rsidDel="00000000" w:rsidR="00000000" w:rsidRPr="00000000">
        <w:rPr/>
        <w:drawing>
          <wp:inline distB="114300" distT="114300" distL="114300" distR="114300">
            <wp:extent cx="5943600" cy="38481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360" w:lineRule="auto"/>
        <w:rPr/>
      </w:pPr>
      <w:r w:rsidDel="00000000" w:rsidR="00000000" w:rsidRPr="00000000">
        <w:rPr>
          <w:rtl w:val="0"/>
        </w:rPr>
      </w:r>
    </w:p>
    <w:p w:rsidR="00000000" w:rsidDel="00000000" w:rsidP="00000000" w:rsidRDefault="00000000" w:rsidRPr="00000000" w14:paraId="0000002A">
      <w:pPr>
        <w:spacing w:after="240" w:before="240" w:line="360" w:lineRule="auto"/>
        <w:rPr/>
      </w:pPr>
      <w:r w:rsidDel="00000000" w:rsidR="00000000" w:rsidRPr="00000000">
        <w:rPr>
          <w:rtl w:val="0"/>
        </w:rPr>
      </w:r>
    </w:p>
    <w:p w:rsidR="00000000" w:rsidDel="00000000" w:rsidP="00000000" w:rsidRDefault="00000000" w:rsidRPr="00000000" w14:paraId="0000002B">
      <w:pPr>
        <w:spacing w:after="240" w:before="240" w:line="360" w:lineRule="auto"/>
        <w:rPr/>
      </w:pPr>
      <w:r w:rsidDel="00000000" w:rsidR="00000000" w:rsidRPr="00000000">
        <w:rPr>
          <w:rtl w:val="0"/>
        </w:rPr>
      </w:r>
    </w:p>
    <w:p w:rsidR="00000000" w:rsidDel="00000000" w:rsidP="00000000" w:rsidRDefault="00000000" w:rsidRPr="00000000" w14:paraId="0000002C">
      <w:pPr>
        <w:spacing w:after="240" w:before="240" w:line="360" w:lineRule="auto"/>
        <w:rPr/>
      </w:pPr>
      <w:r w:rsidDel="00000000" w:rsidR="00000000" w:rsidRPr="00000000">
        <w:rPr>
          <w:rtl w:val="0"/>
        </w:rPr>
      </w:r>
    </w:p>
    <w:p w:rsidR="00000000" w:rsidDel="00000000" w:rsidP="00000000" w:rsidRDefault="00000000" w:rsidRPr="00000000" w14:paraId="0000002D">
      <w:pPr>
        <w:spacing w:after="240" w:before="240" w:line="360" w:lineRule="auto"/>
        <w:rPr/>
      </w:pPr>
      <w:r w:rsidDel="00000000" w:rsidR="00000000" w:rsidRPr="00000000">
        <w:rPr>
          <w:rtl w:val="0"/>
        </w:rPr>
      </w:r>
    </w:p>
    <w:p w:rsidR="00000000" w:rsidDel="00000000" w:rsidP="00000000" w:rsidRDefault="00000000" w:rsidRPr="00000000" w14:paraId="0000002E">
      <w:pPr>
        <w:spacing w:after="240" w:before="240" w:line="360" w:lineRule="auto"/>
        <w:rPr/>
      </w:pPr>
      <w:r w:rsidDel="00000000" w:rsidR="00000000" w:rsidRPr="00000000">
        <w:rPr>
          <w:rtl w:val="0"/>
        </w:rPr>
      </w:r>
    </w:p>
    <w:p w:rsidR="00000000" w:rsidDel="00000000" w:rsidP="00000000" w:rsidRDefault="00000000" w:rsidRPr="00000000" w14:paraId="0000002F">
      <w:pPr>
        <w:spacing w:after="240" w:before="240" w:line="360" w:lineRule="auto"/>
        <w:rPr/>
      </w:pPr>
      <w:r w:rsidDel="00000000" w:rsidR="00000000" w:rsidRPr="00000000">
        <w:rPr>
          <w:rtl w:val="0"/>
        </w:rPr>
      </w:r>
    </w:p>
    <w:p w:rsidR="00000000" w:rsidDel="00000000" w:rsidP="00000000" w:rsidRDefault="00000000" w:rsidRPr="00000000" w14:paraId="00000030">
      <w:pPr>
        <w:numPr>
          <w:ilvl w:val="0"/>
          <w:numId w:val="2"/>
        </w:numPr>
        <w:spacing w:after="240" w:before="240" w:line="360" w:lineRule="auto"/>
        <w:ind w:left="720" w:hanging="360"/>
      </w:pPr>
      <w:r w:rsidDel="00000000" w:rsidR="00000000" w:rsidRPr="00000000">
        <w:rPr>
          <w:b w:val="1"/>
          <w:rtl w:val="0"/>
        </w:rPr>
        <w:t xml:space="preserve">Support Query Parameter-Based Negotiation</w:t>
      </w:r>
      <w:r w:rsidDel="00000000" w:rsidR="00000000" w:rsidRPr="00000000">
        <w:rPr>
          <w:rtl w:val="0"/>
        </w:rPr>
        <w:t xml:space="preserve"> Add query parameter support by configuring </w:t>
      </w:r>
      <w:r w:rsidDel="00000000" w:rsidR="00000000" w:rsidRPr="00000000">
        <w:rPr>
          <w:rFonts w:ascii="Roboto Mono" w:cs="Roboto Mono" w:eastAsia="Roboto Mono" w:hAnsi="Roboto Mono"/>
          <w:color w:val="188038"/>
          <w:rtl w:val="0"/>
        </w:rPr>
        <w:t xml:space="preserve">ContentNegotiationManager</w:t>
      </w:r>
      <w:r w:rsidDel="00000000" w:rsidR="00000000" w:rsidRPr="00000000">
        <w:rPr>
          <w:rtl w:val="0"/>
        </w:rPr>
        <w:t xml:space="preserve">.</w:t>
      </w:r>
    </w:p>
    <w:p w:rsidR="00000000" w:rsidDel="00000000" w:rsidP="00000000" w:rsidRDefault="00000000" w:rsidRPr="00000000" w14:paraId="00000031">
      <w:pPr>
        <w:spacing w:after="240" w:before="240" w:line="360" w:lineRule="auto"/>
        <w:rPr/>
      </w:pPr>
      <w:r w:rsidDel="00000000" w:rsidR="00000000" w:rsidRPr="00000000">
        <w:rPr/>
        <w:drawing>
          <wp:inline distB="114300" distT="114300" distL="114300" distR="114300">
            <wp:extent cx="5943600" cy="40513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60" w:lineRule="auto"/>
        <w:rPr>
          <w:b w:val="1"/>
          <w:color w:val="000000"/>
          <w:sz w:val="26"/>
          <w:szCs w:val="26"/>
        </w:rPr>
      </w:pPr>
      <w:bookmarkStart w:colFirst="0" w:colLast="0" w:name="_a51wwfuhucfn"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34">
      <w:pPr>
        <w:spacing w:after="240" w:before="240" w:line="360" w:lineRule="auto"/>
        <w:rPr/>
      </w:pPr>
      <w:r w:rsidDel="00000000" w:rsidR="00000000" w:rsidRPr="00000000">
        <w:rPr>
          <w:rtl w:val="0"/>
        </w:rPr>
        <w:t xml:space="preserve">By using Spring's built-in content negotiation and message converters, you can easily produce both JSON and XML outputs from the same endpoint. Customizing converters or content negotiation settings allows you to meet specific application needs.</w:t>
      </w:r>
    </w:p>
    <w:p w:rsidR="00000000" w:rsidDel="00000000" w:rsidP="00000000" w:rsidRDefault="00000000" w:rsidRPr="00000000" w14:paraId="00000035">
      <w:pPr>
        <w:spacing w:after="240" w:before="240" w:line="360" w:lineRule="auto"/>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