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keepNext/>
        <w:spacing w:before="0" w:after="140"/>
      </w:pPr>
      <w:r>
        <w:rPr>
          <w:rFonts w:ascii="Aptos" w:hAnsi="Aptos"/>
          <w:b/>
          <w:i w:val="0"/>
          <w:color w:val="F04B16"/>
          <w:sz w:val="17"/>
        </w:rPr>
        <w:t>CLIENT APPLICATION OVERVIEW</w:t>
      </w:r>
    </w:p>
    <w:p>
      <w:pPr>
        <w:pStyle w:val="Title"/>
        <w:spacing w:after="100"/>
      </w:pPr>
      <w:r>
        <w:t>Enterprise Financial Resilience</w:t>
        <w:br/>
        <w:t>and Control Operating System</w:t>
      </w:r>
    </w:p>
    <w:p>
      <w:pPr>
        <w:spacing w:after="320"/>
      </w:pPr>
      <w:r>
        <w:rPr>
          <w:rFonts w:ascii="Aptos" w:hAnsi="Aptos"/>
          <w:b w:val="0"/>
          <w:i w:val="0"/>
          <w:color w:val="66635D"/>
          <w:sz w:val="28"/>
        </w:rPr>
        <w:t>Decision intelligence for a more resilient enterprise</w:t>
      </w:r>
    </w:p>
    <w:p>
      <w:pPr>
        <w:spacing w:after="280" w:line="269" w:lineRule="auto"/>
      </w:pPr>
      <w:r>
        <w:rPr>
          <w:rFonts w:ascii="Aptos" w:hAnsi="Aptos"/>
          <w:b w:val="0"/>
          <w:i w:val="0"/>
          <w:color w:val="22211E"/>
          <w:sz w:val="22"/>
        </w:rPr>
        <w:t>The application gives an enterprise a common operating picture of financial and operational risk. It combines continuous monitoring, controlled simulation, expert interpretation and governed action so leaders can see what changed, understand why it matters and decide how to respond.</w:t>
      </w:r>
    </w:p>
    <w:p>
      <w:pPr>
        <w:pStyle w:val="Heading1"/>
        <w:keepNext/>
      </w:pPr>
      <w:r>
        <w:t>What the application provides</w:t>
      </w:r>
    </w:p>
    <w:tbl>
      <w:tblPr>
        <w:tblStyle w:val="TableGrid"/>
        <w:tblW w:type="auto" w:w="0"/>
        <w:jc w:val="center"/>
        <w:tblLayout w:type="fixed"/>
        <w:tblLook w:firstColumn="1" w:firstRow="1" w:lastColumn="0" w:lastRow="0" w:noHBand="0" w:noVBand="1" w:val="04A0"/>
      </w:tblPr>
      <w:tblGrid>
        <w:gridCol w:w="2494"/>
        <w:gridCol w:w="7257"/>
      </w:tblGrid>
      <w:tr>
        <w:trPr>
          <w:cantSplit/>
        </w:trPr>
        <w:tc>
          <w:tcPr>
            <w:tcW w:type="dxa" w:w="5018"/>
            <w:vAlign w:val="center"/>
            <w:tcMar>
              <w:top w:w="100" w:type="dxa"/>
              <w:start w:w="120" w:type="dxa"/>
              <w:bottom w:w="100" w:type="dxa"/>
              <w:end w:w="120" w:type="dxa"/>
            </w:tcMar>
            <w:shd w:fill="F5F2EB"/>
          </w:tcPr>
          <w:p>
            <w:pPr>
              <w:spacing w:after="0" w:before="0" w:line="252" w:lineRule="auto"/>
            </w:pPr>
            <w:r/>
            <w:r>
              <w:rPr>
                <w:rFonts w:ascii="Aptos" w:hAnsi="Aptos"/>
                <w:b/>
                <w:i w:val="0"/>
                <w:color w:val="22211E"/>
                <w:sz w:val="18"/>
              </w:rPr>
              <w:t>A current risk state</w:t>
            </w:r>
          </w:p>
        </w:tc>
        <w:tc>
          <w:tcPr>
            <w:tcW w:type="dxa" w:w="5018"/>
            <w:vAlign w:val="center"/>
            <w:tcMar>
              <w:top w:w="100" w:type="dxa"/>
              <w:start w:w="120" w:type="dxa"/>
              <w:bottom w:w="100" w:type="dxa"/>
              <w:end w:w="120" w:type="dxa"/>
            </w:tcMar>
          </w:tcPr>
          <w:p>
            <w:pPr>
              <w:spacing w:after="0" w:before="0" w:line="252" w:lineRule="auto"/>
            </w:pPr>
            <w:r/>
            <w:r>
              <w:rPr>
                <w:rFonts w:ascii="Aptos" w:hAnsi="Aptos"/>
                <w:b w:val="0"/>
                <w:i w:val="0"/>
                <w:color w:val="22211E"/>
                <w:sz w:val="18"/>
              </w:rPr>
              <w:t>A concise view of enterprise condition across capital, liquidity, operations, regulation, merchants and country corridors.</w:t>
            </w:r>
          </w:p>
        </w:tc>
      </w:tr>
      <w:tr>
        <w:trPr>
          <w:cantSplit/>
        </w:trPr>
        <w:tc>
          <w:tcPr>
            <w:tcW w:type="dxa" w:w="5018"/>
            <w:vAlign w:val="center"/>
            <w:tcMar>
              <w:top w:w="100" w:type="dxa"/>
              <w:start w:w="120" w:type="dxa"/>
              <w:bottom w:w="100" w:type="dxa"/>
              <w:end w:w="120" w:type="dxa"/>
            </w:tcMar>
            <w:shd w:fill="F5F2EB"/>
          </w:tcPr>
          <w:p>
            <w:pPr>
              <w:spacing w:after="0" w:before="0" w:line="252" w:lineRule="auto"/>
            </w:pPr>
            <w:r/>
            <w:r>
              <w:rPr>
                <w:rFonts w:ascii="Aptos" w:hAnsi="Aptos"/>
                <w:b/>
                <w:i w:val="0"/>
                <w:color w:val="22211E"/>
                <w:sz w:val="18"/>
              </w:rPr>
              <w:t>A safe place to test decisions</w:t>
            </w:r>
          </w:p>
        </w:tc>
        <w:tc>
          <w:tcPr>
            <w:tcW w:type="dxa" w:w="5018"/>
            <w:vAlign w:val="center"/>
            <w:tcMar>
              <w:top w:w="100" w:type="dxa"/>
              <w:start w:w="120" w:type="dxa"/>
              <w:bottom w:w="100" w:type="dxa"/>
              <w:end w:w="120" w:type="dxa"/>
            </w:tcMar>
          </w:tcPr>
          <w:p>
            <w:pPr>
              <w:spacing w:after="0" w:before="0" w:line="252" w:lineRule="auto"/>
            </w:pPr>
            <w:r/>
            <w:r>
              <w:rPr>
                <w:rFonts w:ascii="Aptos" w:hAnsi="Aptos"/>
                <w:b w:val="0"/>
                <w:i w:val="0"/>
                <w:color w:val="22211E"/>
                <w:sz w:val="18"/>
              </w:rPr>
              <w:t>Authorised users can change assumptions in a private simulation workspace without disturbing the live view or other users.</w:t>
            </w:r>
          </w:p>
        </w:tc>
      </w:tr>
      <w:tr>
        <w:trPr>
          <w:cantSplit/>
        </w:trPr>
        <w:tc>
          <w:tcPr>
            <w:tcW w:type="dxa" w:w="5018"/>
            <w:vAlign w:val="center"/>
            <w:tcMar>
              <w:top w:w="100" w:type="dxa"/>
              <w:start w:w="120" w:type="dxa"/>
              <w:bottom w:w="100" w:type="dxa"/>
              <w:end w:w="120" w:type="dxa"/>
            </w:tcMar>
            <w:shd w:fill="F5F2EB"/>
          </w:tcPr>
          <w:p>
            <w:pPr>
              <w:spacing w:after="0" w:before="0" w:line="252" w:lineRule="auto"/>
            </w:pPr>
            <w:r/>
            <w:r>
              <w:rPr>
                <w:rFonts w:ascii="Aptos" w:hAnsi="Aptos"/>
                <w:b/>
                <w:i w:val="0"/>
                <w:color w:val="22211E"/>
                <w:sz w:val="18"/>
              </w:rPr>
              <w:t>An explanation, not only a score</w:t>
            </w:r>
          </w:p>
        </w:tc>
        <w:tc>
          <w:tcPr>
            <w:tcW w:type="dxa" w:w="5018"/>
            <w:vAlign w:val="center"/>
            <w:tcMar>
              <w:top w:w="100" w:type="dxa"/>
              <w:start w:w="120" w:type="dxa"/>
              <w:bottom w:w="100" w:type="dxa"/>
              <w:end w:w="120" w:type="dxa"/>
            </w:tcMar>
          </w:tcPr>
          <w:p>
            <w:pPr>
              <w:spacing w:after="0" w:before="0" w:line="252" w:lineRule="auto"/>
            </w:pPr>
            <w:r/>
            <w:r>
              <w:rPr>
                <w:rFonts w:ascii="Aptos" w:hAnsi="Aptos"/>
                <w:b w:val="0"/>
                <w:i w:val="0"/>
                <w:color w:val="22211E"/>
                <w:sz w:val="18"/>
              </w:rPr>
              <w:t>The system traces the variables, dependencies and pathways that produced the result, including probability, impact and resilience.</w:t>
            </w:r>
          </w:p>
        </w:tc>
      </w:tr>
      <w:tr>
        <w:trPr>
          <w:cantSplit/>
        </w:trPr>
        <w:tc>
          <w:tcPr>
            <w:tcW w:type="dxa" w:w="5018"/>
            <w:vAlign w:val="center"/>
            <w:tcMar>
              <w:top w:w="100" w:type="dxa"/>
              <w:start w:w="120" w:type="dxa"/>
              <w:bottom w:w="100" w:type="dxa"/>
              <w:end w:w="120" w:type="dxa"/>
            </w:tcMar>
            <w:shd w:fill="F5F2EB"/>
          </w:tcPr>
          <w:p>
            <w:pPr>
              <w:spacing w:after="0" w:before="0" w:line="252" w:lineRule="auto"/>
            </w:pPr>
            <w:r/>
            <w:r>
              <w:rPr>
                <w:rFonts w:ascii="Aptos" w:hAnsi="Aptos"/>
                <w:b/>
                <w:i w:val="0"/>
                <w:color w:val="22211E"/>
                <w:sz w:val="18"/>
              </w:rPr>
              <w:t>A governed route to recovery</w:t>
            </w:r>
          </w:p>
        </w:tc>
        <w:tc>
          <w:tcPr>
            <w:tcW w:type="dxa" w:w="5018"/>
            <w:vAlign w:val="center"/>
            <w:tcMar>
              <w:top w:w="100" w:type="dxa"/>
              <w:start w:w="120" w:type="dxa"/>
              <w:bottom w:w="100" w:type="dxa"/>
              <w:end w:w="120" w:type="dxa"/>
            </w:tcMar>
          </w:tcPr>
          <w:p>
            <w:pPr>
              <w:spacing w:after="0" w:before="0" w:line="252" w:lineRule="auto"/>
            </w:pPr>
            <w:r/>
            <w:r>
              <w:rPr>
                <w:rFonts w:ascii="Aptos" w:hAnsi="Aptos"/>
                <w:b w:val="0"/>
                <w:i w:val="0"/>
                <w:color w:val="22211E"/>
                <w:sz w:val="18"/>
              </w:rPr>
              <w:t>Recommended actions are assessed, approved, implemented and verified with evidence, authority, rollback readiness and a complete audit trail.</w:t>
            </w:r>
          </w:p>
        </w:tc>
      </w:tr>
    </w:tbl>
    <w:p>
      <w:pPr>
        <w:pStyle w:val="Heading2"/>
        <w:keepNext/>
      </w:pPr>
      <w:r>
        <w:t>The business value</w:t>
      </w:r>
    </w:p>
    <w:p>
      <w:pPr>
        <w:pStyle w:val="ListBullet"/>
        <w:spacing w:after="60" w:line="247" w:lineRule="auto"/>
        <w:ind w:left="312" w:hanging="159"/>
      </w:pPr>
      <w:r>
        <w:rPr>
          <w:rFonts w:ascii="Aptos" w:hAnsi="Aptos"/>
          <w:b w:val="0"/>
          <w:i w:val="0"/>
          <w:color w:val="22211E"/>
          <w:sz w:val="18"/>
        </w:rPr>
        <w:t>Earlier warning of emerging financial, operational, regulatory and cross-border pressures.</w:t>
      </w:r>
    </w:p>
    <w:p>
      <w:pPr>
        <w:pStyle w:val="ListBullet"/>
        <w:spacing w:after="60" w:line="247" w:lineRule="auto"/>
        <w:ind w:left="312" w:hanging="159"/>
      </w:pPr>
      <w:r>
        <w:rPr>
          <w:rFonts w:ascii="Aptos" w:hAnsi="Aptos"/>
          <w:b w:val="0"/>
          <w:i w:val="0"/>
          <w:color w:val="22211E"/>
          <w:sz w:val="18"/>
        </w:rPr>
        <w:t>A shared basis for executive, risk and consultant decisions.</w:t>
      </w:r>
    </w:p>
    <w:p>
      <w:pPr>
        <w:pStyle w:val="ListBullet"/>
        <w:spacing w:after="60" w:line="247" w:lineRule="auto"/>
        <w:ind w:left="312" w:hanging="159"/>
      </w:pPr>
      <w:r>
        <w:rPr>
          <w:rFonts w:ascii="Aptos" w:hAnsi="Aptos"/>
          <w:b w:val="0"/>
          <w:i w:val="0"/>
          <w:color w:val="22211E"/>
          <w:sz w:val="18"/>
        </w:rPr>
        <w:t>Faster analysis of connected risks and recovery alternatives.</w:t>
      </w:r>
    </w:p>
    <w:p>
      <w:pPr>
        <w:pStyle w:val="ListBullet"/>
        <w:spacing w:after="60" w:line="247" w:lineRule="auto"/>
        <w:ind w:left="312" w:hanging="159"/>
      </w:pPr>
      <w:r>
        <w:rPr>
          <w:rFonts w:ascii="Aptos" w:hAnsi="Aptos"/>
          <w:b w:val="0"/>
          <w:i w:val="0"/>
          <w:color w:val="22211E"/>
          <w:sz w:val="18"/>
        </w:rPr>
        <w:t>Reusable institutional knowledge from tested scenarios and verified outcomes.</w:t>
      </w:r>
    </w:p>
    <w:p>
      <w:pPr>
        <w:spacing w:before="180" w:after="0"/>
      </w:pPr>
      <w:r>
        <w:rPr>
          <w:rFonts w:ascii="Aptos" w:hAnsi="Aptos"/>
          <w:b/>
          <w:i w:val="0"/>
          <w:color w:val="F04B16"/>
          <w:sz w:val="18"/>
        </w:rPr>
        <w:t>RESILIENCE IS THE CALCULATED OUTCOME</w:t>
      </w:r>
      <w:r>
        <w:rPr>
          <w:rFonts w:ascii="Aptos" w:hAnsi="Aptos"/>
          <w:b w:val="0"/>
          <w:i w:val="0"/>
          <w:color w:val="66635D"/>
          <w:sz w:val="18"/>
        </w:rPr>
        <w:t xml:space="preserve">  •  The six control areas are the conditions and interventions that influence that outcome.</w:t>
      </w:r>
    </w:p>
    <w:p>
      <w:r>
        <w:br w:type="page"/>
      </w:r>
    </w:p>
    <w:p>
      <w:pPr>
        <w:keepNext/>
        <w:spacing w:before="0" w:after="140"/>
      </w:pPr>
      <w:r>
        <w:rPr>
          <w:rFonts w:ascii="Aptos" w:hAnsi="Aptos"/>
          <w:b/>
          <w:i w:val="0"/>
          <w:color w:val="F04B16"/>
          <w:sz w:val="17"/>
        </w:rPr>
        <w:t>HOW IT WORKS</w:t>
      </w:r>
    </w:p>
    <w:p>
      <w:pPr>
        <w:pStyle w:val="Heading1"/>
        <w:keepNext/>
      </w:pPr>
      <w:r>
        <w:t>Two operating modes, one governed system</w:t>
      </w:r>
    </w:p>
    <w:tbl>
      <w:tblPr>
        <w:tblStyle w:val="TableGrid"/>
        <w:tblW w:type="auto" w:w="0"/>
        <w:jc w:val="center"/>
        <w:tblLayout w:type="fixed"/>
        <w:tblLook w:firstColumn="1" w:firstRow="1" w:lastColumn="0" w:lastRow="0" w:noHBand="0" w:noVBand="1" w:val="04A0"/>
      </w:tblPr>
      <w:tblGrid>
        <w:gridCol w:w="2891"/>
        <w:gridCol w:w="6860"/>
      </w:tblGrid>
      <w:tr>
        <w:trPr>
          <w:cantSplit/>
        </w:trPr>
        <w:tc>
          <w:tcPr>
            <w:tcW w:type="dxa" w:w="5018"/>
            <w:vAlign w:val="center"/>
            <w:tcMar>
              <w:top w:w="100" w:type="dxa"/>
              <w:start w:w="120" w:type="dxa"/>
              <w:bottom w:w="100" w:type="dxa"/>
              <w:end w:w="120" w:type="dxa"/>
            </w:tcMar>
            <w:shd w:fill="22211E"/>
          </w:tcPr>
          <w:p>
            <w:pPr>
              <w:spacing w:after="0" w:before="0" w:line="252" w:lineRule="auto"/>
            </w:pPr>
            <w:r/>
            <w:r>
              <w:rPr>
                <w:rFonts w:ascii="Aptos" w:hAnsi="Aptos"/>
                <w:b/>
                <w:i w:val="0"/>
                <w:color w:val="FFFFFF"/>
                <w:sz w:val="21"/>
              </w:rPr>
              <w:t>LIVE MONITOR</w:t>
            </w:r>
          </w:p>
        </w:tc>
        <w:tc>
          <w:tcPr>
            <w:tcW w:type="dxa" w:w="5018"/>
            <w:vAlign w:val="center"/>
            <w:tcMar>
              <w:top w:w="100" w:type="dxa"/>
              <w:start w:w="120" w:type="dxa"/>
              <w:bottom w:w="100" w:type="dxa"/>
              <w:end w:w="120" w:type="dxa"/>
            </w:tcMar>
          </w:tcPr>
          <w:p>
            <w:pPr>
              <w:spacing w:after="0" w:before="0" w:line="252" w:lineRule="auto"/>
            </w:pPr>
            <w:r/>
            <w:r>
              <w:rPr>
                <w:rFonts w:ascii="Aptos" w:hAnsi="Aptos"/>
                <w:b w:val="0"/>
                <w:i w:val="0"/>
                <w:color w:val="22211E"/>
                <w:sz w:val="18"/>
              </w:rPr>
              <w:t>Continuously presents the enterprise’s current risk condition. It identifies material change, affected dependencies and suggested remedies. The normal dashboard remains available to entitled users.</w:t>
            </w:r>
          </w:p>
        </w:tc>
      </w:tr>
      <w:tr>
        <w:trPr>
          <w:cantSplit/>
        </w:trPr>
        <w:tc>
          <w:tcPr>
            <w:tcW w:type="dxa" w:w="5018"/>
            <w:vAlign w:val="center"/>
            <w:tcMar>
              <w:top w:w="100" w:type="dxa"/>
              <w:start w:w="120" w:type="dxa"/>
              <w:bottom w:w="100" w:type="dxa"/>
              <w:end w:w="120" w:type="dxa"/>
            </w:tcMar>
            <w:shd w:fill="F04B16"/>
          </w:tcPr>
          <w:p>
            <w:pPr>
              <w:spacing w:after="0" w:before="0" w:line="252" w:lineRule="auto"/>
            </w:pPr>
            <w:r/>
            <w:r>
              <w:rPr>
                <w:rFonts w:ascii="Aptos" w:hAnsi="Aptos"/>
                <w:b/>
                <w:i w:val="0"/>
                <w:color w:val="FFFFFF"/>
                <w:sz w:val="21"/>
              </w:rPr>
              <w:t>PRIVATE SIMULATION LAB</w:t>
            </w:r>
          </w:p>
        </w:tc>
        <w:tc>
          <w:tcPr>
            <w:tcW w:type="dxa" w:w="5018"/>
            <w:vAlign w:val="center"/>
            <w:tcMar>
              <w:top w:w="100" w:type="dxa"/>
              <w:start w:w="120" w:type="dxa"/>
              <w:bottom w:w="100" w:type="dxa"/>
              <w:end w:w="120" w:type="dxa"/>
            </w:tcMar>
          </w:tcPr>
          <w:p>
            <w:pPr>
              <w:spacing w:after="0" w:before="0" w:line="252" w:lineRule="auto"/>
            </w:pPr>
            <w:r/>
            <w:r>
              <w:rPr>
                <w:rFonts w:ascii="Aptos" w:hAnsi="Aptos"/>
                <w:b w:val="0"/>
                <w:i w:val="0"/>
                <w:color w:val="22211E"/>
                <w:sz w:val="18"/>
              </w:rPr>
              <w:t>Creates an isolated, authorised what-if workspace for an individual or invited participants. Changes remain private until deliberately saved or shared and cannot alter the live state.</w:t>
            </w:r>
          </w:p>
        </w:tc>
      </w:tr>
    </w:tbl>
    <w:p>
      <w:pPr>
        <w:pStyle w:val="Heading2"/>
        <w:keepNext/>
      </w:pPr>
      <w:r>
        <w:t>The six control areas</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cantSplit/>
        </w:trPr>
        <w:tc>
          <w:tcPr>
            <w:tcW w:type="dxa" w:w="2509"/>
            <w:vAlign w:val="center"/>
            <w:tcMar>
              <w:top w:w="100" w:type="dxa"/>
              <w:start w:w="120" w:type="dxa"/>
              <w:bottom w:w="100" w:type="dxa"/>
              <w:end w:w="120" w:type="dxa"/>
            </w:tcMar>
            <w:shd w:fill="F5F2EB"/>
          </w:tcPr>
          <w:p>
            <w:pPr>
              <w:spacing w:after="0" w:before="0" w:line="252" w:lineRule="auto"/>
            </w:pPr>
            <w:r/>
            <w:r>
              <w:rPr>
                <w:rFonts w:ascii="Aptos" w:hAnsi="Aptos"/>
                <w:b/>
                <w:i w:val="0"/>
                <w:color w:val="F04B16"/>
                <w:sz w:val="17"/>
              </w:rPr>
              <w:t>01 Capital</w:t>
            </w:r>
          </w:p>
        </w:tc>
        <w:tc>
          <w:tcPr>
            <w:tcW w:type="dxa" w:w="2509"/>
            <w:vAlign w:val="center"/>
            <w:tcMar>
              <w:top w:w="100" w:type="dxa"/>
              <w:start w:w="120" w:type="dxa"/>
              <w:bottom w:w="100" w:type="dxa"/>
              <w:end w:w="120" w:type="dxa"/>
            </w:tcMar>
          </w:tcPr>
          <w:p>
            <w:pPr>
              <w:spacing w:after="0" w:before="0" w:line="252" w:lineRule="auto"/>
            </w:pPr>
            <w:r/>
            <w:r>
              <w:rPr>
                <w:rFonts w:ascii="Aptos" w:hAnsi="Aptos"/>
                <w:b w:val="0"/>
                <w:i w:val="0"/>
                <w:color w:val="22211E"/>
                <w:sz w:val="16"/>
              </w:rPr>
              <w:t>Equity, earnings, reserves, debt, leverage, covenants and capital regeneration.</w:t>
            </w:r>
          </w:p>
        </w:tc>
        <w:tc>
          <w:tcPr>
            <w:tcW w:type="dxa" w:w="2509"/>
            <w:vAlign w:val="center"/>
            <w:tcMar>
              <w:top w:w="100" w:type="dxa"/>
              <w:start w:w="120" w:type="dxa"/>
              <w:bottom w:w="100" w:type="dxa"/>
              <w:end w:w="120" w:type="dxa"/>
            </w:tcMar>
            <w:shd w:fill="F5F2EB"/>
          </w:tcPr>
          <w:p>
            <w:pPr>
              <w:spacing w:after="0" w:before="0" w:line="252" w:lineRule="auto"/>
            </w:pPr>
            <w:r/>
            <w:r>
              <w:rPr>
                <w:rFonts w:ascii="Aptos" w:hAnsi="Aptos"/>
                <w:b/>
                <w:i w:val="0"/>
                <w:color w:val="F04B16"/>
                <w:sz w:val="17"/>
              </w:rPr>
              <w:t>02 Liquidity</w:t>
            </w:r>
          </w:p>
        </w:tc>
        <w:tc>
          <w:tcPr>
            <w:tcW w:type="dxa" w:w="2509"/>
            <w:vAlign w:val="center"/>
            <w:tcMar>
              <w:top w:w="100" w:type="dxa"/>
              <w:start w:w="120" w:type="dxa"/>
              <w:bottom w:w="100" w:type="dxa"/>
              <w:end w:w="120" w:type="dxa"/>
            </w:tcMar>
          </w:tcPr>
          <w:p>
            <w:pPr>
              <w:spacing w:after="0" w:before="0" w:line="252" w:lineRule="auto"/>
            </w:pPr>
            <w:r/>
            <w:r>
              <w:rPr>
                <w:rFonts w:ascii="Aptos" w:hAnsi="Aptos"/>
                <w:b w:val="0"/>
                <w:i w:val="0"/>
                <w:color w:val="22211E"/>
                <w:sz w:val="16"/>
              </w:rPr>
              <w:t>Cash, funding, settlement, buffers, maturities and liquidity stress.</w:t>
            </w:r>
          </w:p>
        </w:tc>
      </w:tr>
      <w:tr>
        <w:trPr>
          <w:cantSplit/>
        </w:trPr>
        <w:tc>
          <w:tcPr>
            <w:tcW w:type="dxa" w:w="2509"/>
            <w:vAlign w:val="center"/>
            <w:tcMar>
              <w:top w:w="100" w:type="dxa"/>
              <w:start w:w="120" w:type="dxa"/>
              <w:bottom w:w="100" w:type="dxa"/>
              <w:end w:w="120" w:type="dxa"/>
            </w:tcMar>
            <w:shd w:fill="F5F2EB"/>
          </w:tcPr>
          <w:p>
            <w:pPr>
              <w:spacing w:after="0" w:before="0" w:line="252" w:lineRule="auto"/>
            </w:pPr>
            <w:r/>
            <w:r>
              <w:rPr>
                <w:rFonts w:ascii="Aptos" w:hAnsi="Aptos"/>
                <w:b/>
                <w:i w:val="0"/>
                <w:color w:val="F04B16"/>
                <w:sz w:val="17"/>
              </w:rPr>
              <w:t>03 Operations</w:t>
            </w:r>
          </w:p>
        </w:tc>
        <w:tc>
          <w:tcPr>
            <w:tcW w:type="dxa" w:w="2509"/>
            <w:vAlign w:val="center"/>
            <w:tcMar>
              <w:top w:w="100" w:type="dxa"/>
              <w:start w:w="120" w:type="dxa"/>
              <w:bottom w:w="100" w:type="dxa"/>
              <w:end w:w="120" w:type="dxa"/>
            </w:tcMar>
          </w:tcPr>
          <w:p>
            <w:pPr>
              <w:spacing w:after="0" w:before="0" w:line="252" w:lineRule="auto"/>
            </w:pPr>
            <w:r/>
            <w:r>
              <w:rPr>
                <w:rFonts w:ascii="Aptos" w:hAnsi="Aptos"/>
                <w:b w:val="0"/>
                <w:i w:val="0"/>
                <w:color w:val="22211E"/>
                <w:sz w:val="16"/>
              </w:rPr>
              <w:t>Processes, people, technology, vendors, controls, continuity and cyber-related disruption.</w:t>
            </w:r>
          </w:p>
        </w:tc>
        <w:tc>
          <w:tcPr>
            <w:tcW w:type="dxa" w:w="2509"/>
            <w:vAlign w:val="center"/>
            <w:tcMar>
              <w:top w:w="100" w:type="dxa"/>
              <w:start w:w="120" w:type="dxa"/>
              <w:bottom w:w="100" w:type="dxa"/>
              <w:end w:w="120" w:type="dxa"/>
            </w:tcMar>
            <w:shd w:fill="F5F2EB"/>
          </w:tcPr>
          <w:p>
            <w:pPr>
              <w:spacing w:after="0" w:before="0" w:line="252" w:lineRule="auto"/>
            </w:pPr>
            <w:r/>
            <w:r>
              <w:rPr>
                <w:rFonts w:ascii="Aptos" w:hAnsi="Aptos"/>
                <w:b/>
                <w:i w:val="0"/>
                <w:color w:val="F04B16"/>
                <w:sz w:val="17"/>
              </w:rPr>
              <w:t>04 Regulation</w:t>
            </w:r>
          </w:p>
        </w:tc>
        <w:tc>
          <w:tcPr>
            <w:tcW w:type="dxa" w:w="2509"/>
            <w:vAlign w:val="center"/>
            <w:tcMar>
              <w:top w:w="100" w:type="dxa"/>
              <w:start w:w="120" w:type="dxa"/>
              <w:bottom w:w="100" w:type="dxa"/>
              <w:end w:w="120" w:type="dxa"/>
            </w:tcMar>
          </w:tcPr>
          <w:p>
            <w:pPr>
              <w:spacing w:after="0" w:before="0" w:line="252" w:lineRule="auto"/>
            </w:pPr>
            <w:r/>
            <w:r>
              <w:rPr>
                <w:rFonts w:ascii="Aptos" w:hAnsi="Aptos"/>
                <w:b w:val="0"/>
                <w:i w:val="0"/>
                <w:color w:val="22211E"/>
                <w:sz w:val="16"/>
              </w:rPr>
              <w:t>Obligations, supervisory change, licences, reporting, sanctions and compliance exposure.</w:t>
            </w:r>
          </w:p>
        </w:tc>
      </w:tr>
      <w:tr>
        <w:trPr>
          <w:cantSplit/>
        </w:trPr>
        <w:tc>
          <w:tcPr>
            <w:tcW w:type="dxa" w:w="2509"/>
            <w:vAlign w:val="center"/>
            <w:tcMar>
              <w:top w:w="100" w:type="dxa"/>
              <w:start w:w="120" w:type="dxa"/>
              <w:bottom w:w="100" w:type="dxa"/>
              <w:end w:w="120" w:type="dxa"/>
            </w:tcMar>
            <w:shd w:fill="F5F2EB"/>
          </w:tcPr>
          <w:p>
            <w:pPr>
              <w:spacing w:after="0" w:before="0" w:line="252" w:lineRule="auto"/>
            </w:pPr>
            <w:r/>
            <w:r>
              <w:rPr>
                <w:rFonts w:ascii="Aptos" w:hAnsi="Aptos"/>
                <w:b/>
                <w:i w:val="0"/>
                <w:color w:val="F04B16"/>
                <w:sz w:val="17"/>
              </w:rPr>
              <w:t>05 Merchants</w:t>
            </w:r>
          </w:p>
        </w:tc>
        <w:tc>
          <w:tcPr>
            <w:tcW w:type="dxa" w:w="2509"/>
            <w:vAlign w:val="center"/>
            <w:tcMar>
              <w:top w:w="100" w:type="dxa"/>
              <w:start w:w="120" w:type="dxa"/>
              <w:bottom w:w="100" w:type="dxa"/>
              <w:end w:w="120" w:type="dxa"/>
            </w:tcMar>
          </w:tcPr>
          <w:p>
            <w:pPr>
              <w:spacing w:after="0" w:before="0" w:line="252" w:lineRule="auto"/>
            </w:pPr>
            <w:r/>
            <w:r>
              <w:rPr>
                <w:rFonts w:ascii="Aptos" w:hAnsi="Aptos"/>
                <w:b w:val="0"/>
                <w:i w:val="0"/>
                <w:color w:val="22211E"/>
                <w:sz w:val="16"/>
              </w:rPr>
              <w:t>Portfolio quality, concentration, fraud, disputes, credit and counterparty behaviour.</w:t>
            </w:r>
          </w:p>
        </w:tc>
        <w:tc>
          <w:tcPr>
            <w:tcW w:type="dxa" w:w="2509"/>
            <w:vAlign w:val="center"/>
            <w:tcMar>
              <w:top w:w="100" w:type="dxa"/>
              <w:start w:w="120" w:type="dxa"/>
              <w:bottom w:w="100" w:type="dxa"/>
              <w:end w:w="120" w:type="dxa"/>
            </w:tcMar>
            <w:shd w:fill="F5F2EB"/>
          </w:tcPr>
          <w:p>
            <w:pPr>
              <w:spacing w:after="0" w:before="0" w:line="252" w:lineRule="auto"/>
            </w:pPr>
            <w:r/>
            <w:r>
              <w:rPr>
                <w:rFonts w:ascii="Aptos" w:hAnsi="Aptos"/>
                <w:b/>
                <w:i w:val="0"/>
                <w:color w:val="F04B16"/>
                <w:sz w:val="17"/>
              </w:rPr>
              <w:t>06 Countries &amp; Corridors</w:t>
            </w:r>
          </w:p>
        </w:tc>
        <w:tc>
          <w:tcPr>
            <w:tcW w:type="dxa" w:w="2509"/>
            <w:vAlign w:val="center"/>
            <w:tcMar>
              <w:top w:w="100" w:type="dxa"/>
              <w:start w:w="120" w:type="dxa"/>
              <w:bottom w:w="100" w:type="dxa"/>
              <w:end w:w="120" w:type="dxa"/>
            </w:tcMar>
          </w:tcPr>
          <w:p>
            <w:pPr>
              <w:spacing w:after="0" w:before="0" w:line="252" w:lineRule="auto"/>
            </w:pPr>
            <w:r/>
            <w:r>
              <w:rPr>
                <w:rFonts w:ascii="Aptos" w:hAnsi="Aptos"/>
                <w:b w:val="0"/>
                <w:i w:val="0"/>
                <w:color w:val="22211E"/>
                <w:sz w:val="16"/>
              </w:rPr>
              <w:t>Jurisdictions, currencies, cross-border flows, geopolitical conditions and corridor dependencies.</w:t>
            </w:r>
          </w:p>
        </w:tc>
      </w:tr>
    </w:tbl>
    <w:p>
      <w:pPr>
        <w:spacing w:after="140" w:line="259" w:lineRule="auto"/>
      </w:pPr>
      <w:r>
        <w:rPr>
          <w:rFonts w:ascii="Aptos" w:hAnsi="Aptos"/>
          <w:b/>
          <w:i w:val="0"/>
          <w:color w:val="22211E"/>
          <w:sz w:val="19"/>
        </w:rPr>
        <w:t>The present model contains 220 defined variables:</w:t>
      </w:r>
      <w:r>
        <w:rPr>
          <w:rFonts w:ascii="Aptos" w:hAnsi="Aptos"/>
          <w:b w:val="0"/>
          <w:i w:val="0"/>
          <w:color w:val="22211E"/>
          <w:sz w:val="19"/>
        </w:rPr>
        <w:t xml:space="preserve"> 28 capital, 32 liquidity, 40 operations, 32 regulation, 36 merchant and 52 country-and-corridor variables.</w:t>
      </w:r>
    </w:p>
    <w:p>
      <w:pPr>
        <w:pStyle w:val="Heading2"/>
        <w:keepNext/>
      </w:pPr>
      <w:r>
        <w:t>From change to decision</w:t>
      </w:r>
    </w:p>
    <w:tbl>
      <w:tblPr>
        <w:tblStyle w:val="TableGrid"/>
        <w:tblW w:type="auto" w:w="0"/>
        <w:jc w:val="center"/>
        <w:tblLayout w:type="fixed"/>
        <w:tblLook w:firstColumn="1" w:firstRow="1" w:lastColumn="0" w:lastRow="0" w:noHBand="0" w:noVBand="1" w:val="04A0"/>
      </w:tblPr>
      <w:tblGrid>
        <w:gridCol w:w="624"/>
        <w:gridCol w:w="9184"/>
      </w:tblGrid>
      <w:tr>
        <w:trPr>
          <w:cantSplit/>
        </w:trPr>
        <w:tc>
          <w:tcPr>
            <w:tcW w:type="dxa" w:w="5018"/>
            <w:vAlign w:val="center"/>
            <w:tcMar>
              <w:top w:w="100" w:type="dxa"/>
              <w:start w:w="120" w:type="dxa"/>
              <w:bottom w:w="100" w:type="dxa"/>
              <w:end w:w="120" w:type="dxa"/>
            </w:tcMar>
          </w:tcPr>
          <w:p>
            <w:pPr>
              <w:spacing w:after="0" w:before="0" w:line="252" w:lineRule="auto"/>
            </w:pPr>
            <w:r/>
            <w:r>
              <w:rPr>
                <w:rFonts w:ascii="Aptos" w:hAnsi="Aptos"/>
                <w:b/>
                <w:i w:val="0"/>
                <w:color w:val="F04B16"/>
                <w:sz w:val="24"/>
              </w:rPr>
              <w:t>01</w:t>
            </w:r>
          </w:p>
        </w:tc>
        <w:tc>
          <w:tcPr>
            <w:tcW w:type="dxa" w:w="5018"/>
            <w:vAlign w:val="center"/>
            <w:tcMar>
              <w:top w:w="100" w:type="dxa"/>
              <w:start w:w="120" w:type="dxa"/>
              <w:bottom w:w="100" w:type="dxa"/>
              <w:end w:w="120" w:type="dxa"/>
            </w:tcMar>
          </w:tcPr>
          <w:p>
            <w:pPr>
              <w:spacing w:after="0" w:before="0" w:line="252" w:lineRule="auto"/>
            </w:pPr>
            <w:r/>
            <w:r>
              <w:rPr>
                <w:rFonts w:ascii="Aptos" w:hAnsi="Aptos"/>
                <w:b w:val="0"/>
                <w:i w:val="0"/>
                <w:color w:val="22211E"/>
                <w:sz w:val="18"/>
              </w:rPr>
              <w:t>Detect a change or define a what-if question.</w:t>
            </w:r>
          </w:p>
        </w:tc>
      </w:tr>
      <w:tr>
        <w:trPr>
          <w:cantSplit/>
        </w:trPr>
        <w:tc>
          <w:tcPr>
            <w:tcW w:type="dxa" w:w="5018"/>
            <w:vAlign w:val="center"/>
            <w:tcMar>
              <w:top w:w="100" w:type="dxa"/>
              <w:start w:w="120" w:type="dxa"/>
              <w:bottom w:w="100" w:type="dxa"/>
              <w:end w:w="120" w:type="dxa"/>
            </w:tcMar>
          </w:tcPr>
          <w:p>
            <w:pPr>
              <w:spacing w:after="0" w:before="0" w:line="252" w:lineRule="auto"/>
            </w:pPr>
            <w:r/>
            <w:r>
              <w:rPr>
                <w:rFonts w:ascii="Aptos" w:hAnsi="Aptos"/>
                <w:b/>
                <w:i w:val="0"/>
                <w:color w:val="F04B16"/>
                <w:sz w:val="24"/>
              </w:rPr>
              <w:t>02</w:t>
            </w:r>
          </w:p>
        </w:tc>
        <w:tc>
          <w:tcPr>
            <w:tcW w:type="dxa" w:w="5018"/>
            <w:vAlign w:val="center"/>
            <w:tcMar>
              <w:top w:w="100" w:type="dxa"/>
              <w:start w:w="120" w:type="dxa"/>
              <w:bottom w:w="100" w:type="dxa"/>
              <w:end w:w="120" w:type="dxa"/>
            </w:tcMar>
          </w:tcPr>
          <w:p>
            <w:pPr>
              <w:spacing w:after="0" w:before="0" w:line="252" w:lineRule="auto"/>
            </w:pPr>
            <w:r/>
            <w:r>
              <w:rPr>
                <w:rFonts w:ascii="Aptos" w:hAnsi="Aptos"/>
                <w:b w:val="0"/>
                <w:i w:val="0"/>
                <w:color w:val="22211E"/>
                <w:sz w:val="18"/>
              </w:rPr>
              <w:t>Calculate direct effects, connected effects and the resulting probability, impact and resilience state.</w:t>
            </w:r>
          </w:p>
        </w:tc>
      </w:tr>
      <w:tr>
        <w:trPr>
          <w:cantSplit/>
        </w:trPr>
        <w:tc>
          <w:tcPr>
            <w:tcW w:type="dxa" w:w="5018"/>
            <w:vAlign w:val="center"/>
            <w:tcMar>
              <w:top w:w="100" w:type="dxa"/>
              <w:start w:w="120" w:type="dxa"/>
              <w:bottom w:w="100" w:type="dxa"/>
              <w:end w:w="120" w:type="dxa"/>
            </w:tcMar>
          </w:tcPr>
          <w:p>
            <w:pPr>
              <w:spacing w:after="0" w:before="0" w:line="252" w:lineRule="auto"/>
            </w:pPr>
            <w:r/>
            <w:r>
              <w:rPr>
                <w:rFonts w:ascii="Aptos" w:hAnsi="Aptos"/>
                <w:b/>
                <w:i w:val="0"/>
                <w:color w:val="F04B16"/>
                <w:sz w:val="24"/>
              </w:rPr>
              <w:t>03</w:t>
            </w:r>
          </w:p>
        </w:tc>
        <w:tc>
          <w:tcPr>
            <w:tcW w:type="dxa" w:w="5018"/>
            <w:vAlign w:val="center"/>
            <w:tcMar>
              <w:top w:w="100" w:type="dxa"/>
              <w:start w:w="120" w:type="dxa"/>
              <w:bottom w:w="100" w:type="dxa"/>
              <w:end w:w="120" w:type="dxa"/>
            </w:tcMar>
          </w:tcPr>
          <w:p>
            <w:pPr>
              <w:spacing w:after="0" w:before="0" w:line="252" w:lineRule="auto"/>
            </w:pPr>
            <w:r/>
            <w:r>
              <w:rPr>
                <w:rFonts w:ascii="Aptos" w:hAnsi="Aptos"/>
                <w:b w:val="0"/>
                <w:i w:val="0"/>
                <w:color w:val="22211E"/>
                <w:sz w:val="18"/>
              </w:rPr>
              <w:t>Compare the scenario with exact and related precedents in the case-intelligence library.</w:t>
            </w:r>
          </w:p>
        </w:tc>
      </w:tr>
      <w:tr>
        <w:trPr>
          <w:cantSplit/>
        </w:trPr>
        <w:tc>
          <w:tcPr>
            <w:tcW w:type="dxa" w:w="5018"/>
            <w:vAlign w:val="center"/>
            <w:tcMar>
              <w:top w:w="100" w:type="dxa"/>
              <w:start w:w="120" w:type="dxa"/>
              <w:bottom w:w="100" w:type="dxa"/>
              <w:end w:w="120" w:type="dxa"/>
            </w:tcMar>
          </w:tcPr>
          <w:p>
            <w:pPr>
              <w:spacing w:after="0" w:before="0" w:line="252" w:lineRule="auto"/>
            </w:pPr>
            <w:r/>
            <w:r>
              <w:rPr>
                <w:rFonts w:ascii="Aptos" w:hAnsi="Aptos"/>
                <w:b/>
                <w:i w:val="0"/>
                <w:color w:val="F04B16"/>
                <w:sz w:val="24"/>
              </w:rPr>
              <w:t>04</w:t>
            </w:r>
          </w:p>
        </w:tc>
        <w:tc>
          <w:tcPr>
            <w:tcW w:type="dxa" w:w="5018"/>
            <w:vAlign w:val="center"/>
            <w:tcMar>
              <w:top w:w="100" w:type="dxa"/>
              <w:start w:w="120" w:type="dxa"/>
              <w:bottom w:w="100" w:type="dxa"/>
              <w:end w:w="120" w:type="dxa"/>
            </w:tcMar>
          </w:tcPr>
          <w:p>
            <w:pPr>
              <w:spacing w:after="0" w:before="0" w:line="252" w:lineRule="auto"/>
            </w:pPr>
            <w:r/>
            <w:r>
              <w:rPr>
                <w:rFonts w:ascii="Aptos" w:hAnsi="Aptos"/>
                <w:b w:val="0"/>
                <w:i w:val="0"/>
                <w:color w:val="22211E"/>
                <w:sz w:val="18"/>
              </w:rPr>
              <w:t>Develop and simulate recovery options; present the evidence, assumptions and residual risk.</w:t>
            </w:r>
          </w:p>
        </w:tc>
      </w:tr>
      <w:tr>
        <w:trPr>
          <w:cantSplit/>
        </w:trPr>
        <w:tc>
          <w:tcPr>
            <w:tcW w:type="dxa" w:w="5018"/>
            <w:vAlign w:val="center"/>
            <w:tcMar>
              <w:top w:w="100" w:type="dxa"/>
              <w:start w:w="120" w:type="dxa"/>
              <w:bottom w:w="100" w:type="dxa"/>
              <w:end w:w="120" w:type="dxa"/>
            </w:tcMar>
          </w:tcPr>
          <w:p>
            <w:pPr>
              <w:spacing w:after="0" w:before="0" w:line="252" w:lineRule="auto"/>
            </w:pPr>
            <w:r/>
            <w:r>
              <w:rPr>
                <w:rFonts w:ascii="Aptos" w:hAnsi="Aptos"/>
                <w:b/>
                <w:i w:val="0"/>
                <w:color w:val="F04B16"/>
                <w:sz w:val="24"/>
              </w:rPr>
              <w:t>05</w:t>
            </w:r>
          </w:p>
        </w:tc>
        <w:tc>
          <w:tcPr>
            <w:tcW w:type="dxa" w:w="5018"/>
            <w:vAlign w:val="center"/>
            <w:tcMar>
              <w:top w:w="100" w:type="dxa"/>
              <w:start w:w="120" w:type="dxa"/>
              <w:bottom w:w="100" w:type="dxa"/>
              <w:end w:w="120" w:type="dxa"/>
            </w:tcMar>
          </w:tcPr>
          <w:p>
            <w:pPr>
              <w:spacing w:after="0" w:before="0" w:line="252" w:lineRule="auto"/>
            </w:pPr>
            <w:r/>
            <w:r>
              <w:rPr>
                <w:rFonts w:ascii="Aptos" w:hAnsi="Aptos"/>
                <w:b w:val="0"/>
                <w:i w:val="0"/>
                <w:color w:val="22211E"/>
                <w:sz w:val="18"/>
              </w:rPr>
              <w:t>Obtain the required client decision, implement within the approved mandate and verify the outcome.</w:t>
            </w:r>
          </w:p>
        </w:tc>
      </w:tr>
      <w:tr>
        <w:trPr>
          <w:cantSplit/>
        </w:trPr>
        <w:tc>
          <w:tcPr>
            <w:tcW w:type="dxa" w:w="5018"/>
            <w:vAlign w:val="center"/>
            <w:tcMar>
              <w:top w:w="100" w:type="dxa"/>
              <w:start w:w="120" w:type="dxa"/>
              <w:bottom w:w="100" w:type="dxa"/>
              <w:end w:w="120" w:type="dxa"/>
            </w:tcMar>
          </w:tcPr>
          <w:p>
            <w:pPr>
              <w:spacing w:after="0" w:before="0" w:line="252" w:lineRule="auto"/>
            </w:pPr>
            <w:r/>
            <w:r>
              <w:rPr>
                <w:rFonts w:ascii="Aptos" w:hAnsi="Aptos"/>
                <w:b/>
                <w:i w:val="0"/>
                <w:color w:val="F04B16"/>
                <w:sz w:val="24"/>
              </w:rPr>
              <w:t>06</w:t>
            </w:r>
          </w:p>
        </w:tc>
        <w:tc>
          <w:tcPr>
            <w:tcW w:type="dxa" w:w="5018"/>
            <w:vAlign w:val="center"/>
            <w:tcMar>
              <w:top w:w="100" w:type="dxa"/>
              <w:start w:w="120" w:type="dxa"/>
              <w:bottom w:w="100" w:type="dxa"/>
              <w:end w:w="120" w:type="dxa"/>
            </w:tcMar>
          </w:tcPr>
          <w:p>
            <w:pPr>
              <w:spacing w:after="0" w:before="0" w:line="252" w:lineRule="auto"/>
            </w:pPr>
            <w:r/>
            <w:r>
              <w:rPr>
                <w:rFonts w:ascii="Aptos" w:hAnsi="Aptos"/>
                <w:b w:val="0"/>
                <w:i w:val="0"/>
                <w:color w:val="22211E"/>
                <w:sz w:val="18"/>
              </w:rPr>
              <w:t>Convert the verified outcome into a reviewed lesson for future use.</w:t>
            </w:r>
          </w:p>
        </w:tc>
      </w:tr>
    </w:tbl>
    <w:p>
      <w:pPr>
        <w:spacing w:after="0" w:line="259" w:lineRule="auto"/>
      </w:pPr>
      <w:r>
        <w:rPr>
          <w:rFonts w:ascii="Aptos" w:hAnsi="Aptos"/>
          <w:b w:val="0"/>
          <w:i w:val="0"/>
          <w:color w:val="22211E"/>
          <w:sz w:val="19"/>
        </w:rPr>
        <w:t>A previous solution is treated as decision support. It is used only after the current state, evidence confidence, authority and rollback readiness have been validated.</w:t>
      </w:r>
    </w:p>
    <w:p>
      <w:r>
        <w:br w:type="page"/>
      </w:r>
    </w:p>
    <w:p>
      <w:pPr>
        <w:keepNext/>
        <w:spacing w:before="0" w:after="140"/>
      </w:pPr>
      <w:r>
        <w:rPr>
          <w:rFonts w:ascii="Aptos" w:hAnsi="Aptos"/>
          <w:b/>
          <w:i w:val="0"/>
          <w:color w:val="F04B16"/>
          <w:sz w:val="17"/>
        </w:rPr>
        <w:t>PEOPLE AND ACCOUNTABILITY</w:t>
      </w:r>
    </w:p>
    <w:p>
      <w:pPr>
        <w:pStyle w:val="Heading1"/>
        <w:keepNext/>
      </w:pPr>
      <w:r>
        <w:t>Three roles work from the same evidence</w:t>
      </w:r>
    </w:p>
    <w:p>
      <w:pPr>
        <w:spacing w:after="160" w:line="259" w:lineRule="auto"/>
      </w:pPr>
      <w:r>
        <w:rPr>
          <w:rFonts w:ascii="Aptos" w:hAnsi="Aptos"/>
          <w:b w:val="0"/>
          <w:i w:val="0"/>
          <w:color w:val="22211E"/>
          <w:sz w:val="19"/>
        </w:rPr>
        <w:t>The application supports a clear separation between enterprise accountability, internal risk expertise and independent specialist advice. The exact job titles can be adapted during onboarding, but the decision boundaries remain explicit.</w:t>
      </w:r>
    </w:p>
    <w:tbl>
      <w:tblPr>
        <w:tblStyle w:val="TableGrid"/>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2509"/>
            <w:vAlign w:val="center"/>
            <w:tcMar>
              <w:top w:w="100" w:type="dxa"/>
              <w:start w:w="120" w:type="dxa"/>
              <w:bottom w:w="100" w:type="dxa"/>
              <w:end w:w="120" w:type="dxa"/>
            </w:tcMar>
            <w:shd w:fill="22211E"/>
          </w:tcPr>
          <w:p>
            <w:pPr>
              <w:spacing w:after="0" w:before="0" w:line="252" w:lineRule="auto"/>
            </w:pPr>
            <w:r/>
            <w:r>
              <w:rPr>
                <w:rFonts w:ascii="Aptos" w:hAnsi="Aptos"/>
                <w:b/>
                <w:i w:val="0"/>
                <w:color w:val="FFFFFF"/>
                <w:sz w:val="17"/>
              </w:rPr>
              <w:t>Role</w:t>
            </w:r>
          </w:p>
        </w:tc>
        <w:tc>
          <w:tcPr>
            <w:tcW w:type="dxa" w:w="2509"/>
            <w:vAlign w:val="center"/>
            <w:tcMar>
              <w:top w:w="100" w:type="dxa"/>
              <w:start w:w="120" w:type="dxa"/>
              <w:bottom w:w="100" w:type="dxa"/>
              <w:end w:w="120" w:type="dxa"/>
            </w:tcMar>
            <w:shd w:fill="22211E"/>
          </w:tcPr>
          <w:p>
            <w:pPr>
              <w:spacing w:after="0" w:before="0" w:line="252" w:lineRule="auto"/>
            </w:pPr>
            <w:r/>
            <w:r>
              <w:rPr>
                <w:rFonts w:ascii="Aptos" w:hAnsi="Aptos"/>
                <w:b/>
                <w:i w:val="0"/>
                <w:color w:val="FFFFFF"/>
                <w:sz w:val="17"/>
              </w:rPr>
              <w:t>Primary responsibility</w:t>
            </w:r>
          </w:p>
        </w:tc>
        <w:tc>
          <w:tcPr>
            <w:tcW w:type="dxa" w:w="2509"/>
            <w:vAlign w:val="center"/>
            <w:tcMar>
              <w:top w:w="100" w:type="dxa"/>
              <w:start w:w="120" w:type="dxa"/>
              <w:bottom w:w="100" w:type="dxa"/>
              <w:end w:w="120" w:type="dxa"/>
            </w:tcMar>
            <w:shd w:fill="22211E"/>
          </w:tcPr>
          <w:p>
            <w:pPr>
              <w:spacing w:after="0" w:before="0" w:line="252" w:lineRule="auto"/>
            </w:pPr>
            <w:r/>
            <w:r>
              <w:rPr>
                <w:rFonts w:ascii="Aptos" w:hAnsi="Aptos"/>
                <w:b/>
                <w:i w:val="0"/>
                <w:color w:val="FFFFFF"/>
                <w:sz w:val="17"/>
              </w:rPr>
              <w:t>Typical application use</w:t>
            </w:r>
          </w:p>
        </w:tc>
        <w:tc>
          <w:tcPr>
            <w:tcW w:type="dxa" w:w="2509"/>
            <w:vAlign w:val="center"/>
            <w:tcMar>
              <w:top w:w="100" w:type="dxa"/>
              <w:start w:w="120" w:type="dxa"/>
              <w:bottom w:w="100" w:type="dxa"/>
              <w:end w:w="120" w:type="dxa"/>
            </w:tcMar>
            <w:shd w:fill="22211E"/>
          </w:tcPr>
          <w:p>
            <w:pPr>
              <w:spacing w:after="0" w:before="0" w:line="252" w:lineRule="auto"/>
            </w:pPr>
            <w:r/>
            <w:r>
              <w:rPr>
                <w:rFonts w:ascii="Aptos" w:hAnsi="Aptos"/>
                <w:b/>
                <w:i w:val="0"/>
                <w:color w:val="FFFFFF"/>
                <w:sz w:val="17"/>
              </w:rPr>
              <w:t>Authority boundary</w:t>
            </w:r>
          </w:p>
        </w:tc>
      </w:tr>
      <w:tr>
        <w:trPr>
          <w:cantSplit/>
        </w:trPr>
        <w:tc>
          <w:tcPr>
            <w:tcW w:type="dxa" w:w="2509"/>
            <w:vAlign w:val="center"/>
            <w:tcMar>
              <w:top w:w="100" w:type="dxa"/>
              <w:start w:w="120" w:type="dxa"/>
              <w:bottom w:w="100" w:type="dxa"/>
              <w:end w:w="120" w:type="dxa"/>
            </w:tcMar>
            <w:shd w:fill="F5F2EB"/>
          </w:tcPr>
          <w:p>
            <w:pPr>
              <w:spacing w:after="0" w:before="0" w:line="252" w:lineRule="auto"/>
            </w:pPr>
            <w:r/>
            <w:r>
              <w:rPr>
                <w:rFonts w:ascii="Aptos" w:hAnsi="Aptos"/>
                <w:b/>
                <w:i w:val="0"/>
                <w:color w:val="22211E"/>
                <w:sz w:val="16"/>
              </w:rPr>
              <w:t>Enterprise Owner / Accountable Executive</w:t>
            </w:r>
          </w:p>
        </w:tc>
        <w:tc>
          <w:tcPr>
            <w:tcW w:type="dxa" w:w="2509"/>
            <w:vAlign w:val="center"/>
            <w:tcMar>
              <w:top w:w="100" w:type="dxa"/>
              <w:start w:w="120" w:type="dxa"/>
              <w:bottom w:w="100" w:type="dxa"/>
              <w:end w:w="120" w:type="dxa"/>
            </w:tcMar>
          </w:tcPr>
          <w:p>
            <w:pPr>
              <w:spacing w:after="0" w:before="0" w:line="252" w:lineRule="auto"/>
            </w:pPr>
            <w:r/>
            <w:r>
              <w:rPr>
                <w:rFonts w:ascii="Aptos" w:hAnsi="Aptos"/>
                <w:b w:val="0"/>
                <w:i w:val="0"/>
                <w:color w:val="22211E"/>
                <w:sz w:val="16"/>
              </w:rPr>
              <w:t>Owns enterprise risk appetite, priorities and final business decisions.</w:t>
            </w:r>
          </w:p>
        </w:tc>
        <w:tc>
          <w:tcPr>
            <w:tcW w:type="dxa" w:w="2509"/>
            <w:vAlign w:val="center"/>
            <w:tcMar>
              <w:top w:w="100" w:type="dxa"/>
              <w:start w:w="120" w:type="dxa"/>
              <w:bottom w:w="100" w:type="dxa"/>
              <w:end w:w="120" w:type="dxa"/>
            </w:tcMar>
          </w:tcPr>
          <w:p>
            <w:pPr>
              <w:spacing w:after="0" w:before="0" w:line="252" w:lineRule="auto"/>
            </w:pPr>
            <w:r/>
            <w:r>
              <w:rPr>
                <w:rFonts w:ascii="Aptos" w:hAnsi="Aptos"/>
                <w:b w:val="0"/>
                <w:i w:val="0"/>
                <w:color w:val="22211E"/>
                <w:sz w:val="16"/>
              </w:rPr>
              <w:t>Reviews current state, material scenarios, proposed responses, residual risk and outcome evidence.</w:t>
            </w:r>
          </w:p>
        </w:tc>
        <w:tc>
          <w:tcPr>
            <w:tcW w:type="dxa" w:w="2509"/>
            <w:vAlign w:val="center"/>
            <w:tcMar>
              <w:top w:w="100" w:type="dxa"/>
              <w:start w:w="120" w:type="dxa"/>
              <w:bottom w:w="100" w:type="dxa"/>
              <w:end w:w="120" w:type="dxa"/>
            </w:tcMar>
          </w:tcPr>
          <w:p>
            <w:pPr>
              <w:spacing w:after="0" w:before="0" w:line="252" w:lineRule="auto"/>
            </w:pPr>
            <w:r/>
            <w:r>
              <w:rPr>
                <w:rFonts w:ascii="Aptos" w:hAnsi="Aptos"/>
                <w:b w:val="0"/>
                <w:i w:val="0"/>
                <w:color w:val="22211E"/>
                <w:sz w:val="16"/>
              </w:rPr>
              <w:t>Approves or rejects decisions within delegated corporate authority; remains accountable for the client decision.</w:t>
            </w:r>
          </w:p>
        </w:tc>
      </w:tr>
      <w:tr>
        <w:trPr>
          <w:cantSplit/>
        </w:trPr>
        <w:tc>
          <w:tcPr>
            <w:tcW w:type="dxa" w:w="2509"/>
            <w:vAlign w:val="center"/>
            <w:tcMar>
              <w:top w:w="100" w:type="dxa"/>
              <w:start w:w="120" w:type="dxa"/>
              <w:bottom w:w="100" w:type="dxa"/>
              <w:end w:w="120" w:type="dxa"/>
            </w:tcMar>
            <w:shd w:fill="F5F2EB"/>
          </w:tcPr>
          <w:p>
            <w:pPr>
              <w:spacing w:after="0" w:before="0" w:line="252" w:lineRule="auto"/>
            </w:pPr>
            <w:r/>
            <w:r>
              <w:rPr>
                <w:rFonts w:ascii="Aptos" w:hAnsi="Aptos"/>
                <w:b/>
                <w:i w:val="0"/>
                <w:color w:val="22211E"/>
                <w:sz w:val="16"/>
              </w:rPr>
              <w:t>In-house Expert Risk Analyst</w:t>
            </w:r>
          </w:p>
        </w:tc>
        <w:tc>
          <w:tcPr>
            <w:tcW w:type="dxa" w:w="2509"/>
            <w:vAlign w:val="center"/>
            <w:tcMar>
              <w:top w:w="100" w:type="dxa"/>
              <w:start w:w="120" w:type="dxa"/>
              <w:bottom w:w="100" w:type="dxa"/>
              <w:end w:w="120" w:type="dxa"/>
            </w:tcMar>
          </w:tcPr>
          <w:p>
            <w:pPr>
              <w:spacing w:after="0" w:before="0" w:line="252" w:lineRule="auto"/>
            </w:pPr>
            <w:r/>
            <w:r>
              <w:rPr>
                <w:rFonts w:ascii="Aptos" w:hAnsi="Aptos"/>
                <w:b w:val="0"/>
                <w:i w:val="0"/>
                <w:color w:val="22211E"/>
                <w:sz w:val="16"/>
              </w:rPr>
              <w:t>Maintains the daily risk picture and the quality of enterprise interpretation.</w:t>
            </w:r>
          </w:p>
        </w:tc>
        <w:tc>
          <w:tcPr>
            <w:tcW w:type="dxa" w:w="2509"/>
            <w:vAlign w:val="center"/>
            <w:tcMar>
              <w:top w:w="100" w:type="dxa"/>
              <w:start w:w="120" w:type="dxa"/>
              <w:bottom w:w="100" w:type="dxa"/>
              <w:end w:w="120" w:type="dxa"/>
            </w:tcMar>
          </w:tcPr>
          <w:p>
            <w:pPr>
              <w:spacing w:after="0" w:before="0" w:line="252" w:lineRule="auto"/>
            </w:pPr>
            <w:r/>
            <w:r>
              <w:rPr>
                <w:rFonts w:ascii="Aptos" w:hAnsi="Aptos"/>
                <w:b w:val="0"/>
                <w:i w:val="0"/>
                <w:color w:val="22211E"/>
                <w:sz w:val="16"/>
              </w:rPr>
              <w:t>Validates data, investigates alerts, creates scenarios, tests connected effects, documents findings and escalates decisions.</w:t>
            </w:r>
          </w:p>
        </w:tc>
        <w:tc>
          <w:tcPr>
            <w:tcW w:type="dxa" w:w="2509"/>
            <w:vAlign w:val="center"/>
            <w:tcMar>
              <w:top w:w="100" w:type="dxa"/>
              <w:start w:w="120" w:type="dxa"/>
              <w:bottom w:w="100" w:type="dxa"/>
              <w:end w:w="120" w:type="dxa"/>
            </w:tcMar>
          </w:tcPr>
          <w:p>
            <w:pPr>
              <w:spacing w:after="0" w:before="0" w:line="252" w:lineRule="auto"/>
            </w:pPr>
            <w:r/>
            <w:r>
              <w:rPr>
                <w:rFonts w:ascii="Aptos" w:hAnsi="Aptos"/>
                <w:b w:val="0"/>
                <w:i w:val="0"/>
                <w:color w:val="22211E"/>
                <w:sz w:val="16"/>
              </w:rPr>
              <w:t>May analyse and recommend; cannot exceed delegated approval or execution authority.</w:t>
            </w:r>
          </w:p>
        </w:tc>
      </w:tr>
      <w:tr>
        <w:trPr>
          <w:cantSplit/>
        </w:trPr>
        <w:tc>
          <w:tcPr>
            <w:tcW w:type="dxa" w:w="2509"/>
            <w:vAlign w:val="center"/>
            <w:tcMar>
              <w:top w:w="100" w:type="dxa"/>
              <w:start w:w="120" w:type="dxa"/>
              <w:bottom w:w="100" w:type="dxa"/>
              <w:end w:w="120" w:type="dxa"/>
            </w:tcMar>
            <w:shd w:fill="F5F2EB"/>
          </w:tcPr>
          <w:p>
            <w:pPr>
              <w:spacing w:after="0" w:before="0" w:line="252" w:lineRule="auto"/>
            </w:pPr>
            <w:r/>
            <w:r>
              <w:rPr>
                <w:rFonts w:ascii="Aptos" w:hAnsi="Aptos"/>
                <w:b/>
                <w:i w:val="0"/>
                <w:color w:val="22211E"/>
                <w:sz w:val="16"/>
              </w:rPr>
              <w:t>Expert Consultant</w:t>
            </w:r>
          </w:p>
        </w:tc>
        <w:tc>
          <w:tcPr>
            <w:tcW w:type="dxa" w:w="2509"/>
            <w:vAlign w:val="center"/>
            <w:tcMar>
              <w:top w:w="100" w:type="dxa"/>
              <w:start w:w="120" w:type="dxa"/>
              <w:bottom w:w="100" w:type="dxa"/>
              <w:end w:w="120" w:type="dxa"/>
            </w:tcMar>
          </w:tcPr>
          <w:p>
            <w:pPr>
              <w:spacing w:after="0" w:before="0" w:line="252" w:lineRule="auto"/>
            </w:pPr>
            <w:r/>
            <w:r>
              <w:rPr>
                <w:rFonts w:ascii="Aptos" w:hAnsi="Aptos"/>
                <w:b w:val="0"/>
                <w:i w:val="0"/>
                <w:color w:val="22211E"/>
                <w:sz w:val="16"/>
              </w:rPr>
              <w:t>Provides independent, specialist assessment for complex or material cases.</w:t>
            </w:r>
          </w:p>
        </w:tc>
        <w:tc>
          <w:tcPr>
            <w:tcW w:type="dxa" w:w="2509"/>
            <w:vAlign w:val="center"/>
            <w:tcMar>
              <w:top w:w="100" w:type="dxa"/>
              <w:start w:w="120" w:type="dxa"/>
              <w:bottom w:w="100" w:type="dxa"/>
              <w:end w:w="120" w:type="dxa"/>
            </w:tcMar>
          </w:tcPr>
          <w:p>
            <w:pPr>
              <w:spacing w:after="0" w:before="0" w:line="252" w:lineRule="auto"/>
            </w:pPr>
            <w:r/>
            <w:r>
              <w:rPr>
                <w:rFonts w:ascii="Aptos" w:hAnsi="Aptos"/>
                <w:b w:val="0"/>
                <w:i w:val="0"/>
                <w:color w:val="22211E"/>
                <w:sz w:val="16"/>
              </w:rPr>
              <w:t>Reviews configuration, compares precedents, tests assumptions, designs response options and supports controlled implementation.</w:t>
            </w:r>
          </w:p>
        </w:tc>
        <w:tc>
          <w:tcPr>
            <w:tcW w:type="dxa" w:w="2509"/>
            <w:vAlign w:val="center"/>
            <w:tcMar>
              <w:top w:w="100" w:type="dxa"/>
              <w:start w:w="120" w:type="dxa"/>
              <w:bottom w:w="100" w:type="dxa"/>
              <w:end w:w="120" w:type="dxa"/>
            </w:tcMar>
          </w:tcPr>
          <w:p>
            <w:pPr>
              <w:spacing w:after="0" w:before="0" w:line="252" w:lineRule="auto"/>
            </w:pPr>
            <w:r/>
            <w:r>
              <w:rPr>
                <w:rFonts w:ascii="Aptos" w:hAnsi="Aptos"/>
                <w:b w:val="0"/>
                <w:i w:val="0"/>
                <w:color w:val="22211E"/>
                <w:sz w:val="16"/>
              </w:rPr>
              <w:t>Acts only within the agreed mandate; cannot self-approve the client’s decision.</w:t>
            </w:r>
          </w:p>
        </w:tc>
      </w:tr>
    </w:tbl>
    <w:p>
      <w:pPr>
        <w:pStyle w:val="Heading2"/>
        <w:keepNext/>
      </w:pPr>
      <w:r>
        <w:t>Two delivery models</w:t>
      </w:r>
    </w:p>
    <w:tbl>
      <w:tblPr>
        <w:tblStyle w:val="TableGrid"/>
        <w:tblW w:type="auto" w:w="0"/>
        <w:jc w:val="center"/>
        <w:tblLayout w:type="fixed"/>
        <w:tblLook w:firstColumn="1" w:firstRow="1" w:lastColumn="0" w:lastRow="0" w:noHBand="0" w:noVBand="1" w:val="04A0"/>
      </w:tblPr>
      <w:tblGrid>
        <w:gridCol w:w="5018"/>
        <w:gridCol w:w="5018"/>
      </w:tblGrid>
      <w:tr>
        <w:trPr>
          <w:cantSplit/>
        </w:trPr>
        <w:tc>
          <w:tcPr>
            <w:tcW w:type="dxa" w:w="5018"/>
            <w:vAlign w:val="center"/>
            <w:tcMar>
              <w:top w:w="100" w:type="dxa"/>
              <w:start w:w="120" w:type="dxa"/>
              <w:bottom w:w="100" w:type="dxa"/>
              <w:end w:w="120" w:type="dxa"/>
            </w:tcMar>
            <w:shd w:fill="F5F2EB"/>
          </w:tcPr>
          <w:p>
            <w:pPr>
              <w:spacing w:after="0" w:before="0" w:line="252" w:lineRule="auto"/>
            </w:pPr>
            <w:r/>
            <w:r>
              <w:rPr>
                <w:rFonts w:ascii="Aptos" w:hAnsi="Aptos"/>
                <w:b/>
                <w:i w:val="0"/>
                <w:color w:val="F04B16"/>
                <w:sz w:val="18"/>
              </w:rPr>
              <w:t>ENTERPRISE-OPERATED</w:t>
            </w:r>
          </w:p>
        </w:tc>
        <w:tc>
          <w:tcPr>
            <w:tcW w:type="dxa" w:w="5018"/>
            <w:vAlign w:val="center"/>
            <w:tcMar>
              <w:top w:w="100" w:type="dxa"/>
              <w:start w:w="120" w:type="dxa"/>
              <w:bottom w:w="100" w:type="dxa"/>
              <w:end w:w="120" w:type="dxa"/>
            </w:tcMar>
          </w:tcPr>
          <w:p>
            <w:pPr>
              <w:spacing w:after="0" w:before="0" w:line="252" w:lineRule="auto"/>
            </w:pPr>
            <w:r/>
            <w:r>
              <w:rPr>
                <w:rFonts w:ascii="Aptos" w:hAnsi="Aptos"/>
                <w:b w:val="0"/>
                <w:i w:val="0"/>
                <w:color w:val="22211E"/>
                <w:sz w:val="18"/>
              </w:rPr>
              <w:t>The client’s authorised team operates the system, with consultant support for setup, calibration, specialist review or exceptional events.</w:t>
            </w:r>
          </w:p>
        </w:tc>
      </w:tr>
      <w:tr>
        <w:trPr>
          <w:cantSplit/>
        </w:trPr>
        <w:tc>
          <w:tcPr>
            <w:tcW w:type="dxa" w:w="5018"/>
            <w:vAlign w:val="center"/>
            <w:tcMar>
              <w:top w:w="100" w:type="dxa"/>
              <w:start w:w="120" w:type="dxa"/>
              <w:bottom w:w="100" w:type="dxa"/>
              <w:end w:w="120" w:type="dxa"/>
            </w:tcMar>
            <w:shd w:fill="F5F2EB"/>
          </w:tcPr>
          <w:p>
            <w:pPr>
              <w:spacing w:after="0" w:before="0" w:line="252" w:lineRule="auto"/>
            </w:pPr>
            <w:r/>
            <w:r>
              <w:rPr>
                <w:rFonts w:ascii="Aptos" w:hAnsi="Aptos"/>
                <w:b/>
                <w:i w:val="0"/>
                <w:color w:val="F04B16"/>
                <w:sz w:val="18"/>
              </w:rPr>
              <w:t>CONSULTANT-LED MANAGED SERVICE</w:t>
            </w:r>
          </w:p>
        </w:tc>
        <w:tc>
          <w:tcPr>
            <w:tcW w:type="dxa" w:w="5018"/>
            <w:vAlign w:val="center"/>
            <w:tcMar>
              <w:top w:w="100" w:type="dxa"/>
              <w:start w:w="120" w:type="dxa"/>
              <w:bottom w:w="100" w:type="dxa"/>
              <w:end w:w="120" w:type="dxa"/>
            </w:tcMar>
          </w:tcPr>
          <w:p>
            <w:pPr>
              <w:spacing w:after="0" w:before="0" w:line="252" w:lineRule="auto"/>
            </w:pPr>
            <w:r/>
            <w:r>
              <w:rPr>
                <w:rFonts w:ascii="Aptos" w:hAnsi="Aptos"/>
                <w:b w:val="0"/>
                <w:i w:val="0"/>
                <w:color w:val="22211E"/>
                <w:sz w:val="18"/>
              </w:rPr>
              <w:t>Approved online data is collected into the consultant workspace. The consultant identifies material change, performs analysis and proposes action for the client’s decision and controlled implementation.</w:t>
            </w:r>
          </w:p>
        </w:tc>
      </w:tr>
    </w:tbl>
    <w:p>
      <w:pPr>
        <w:pStyle w:val="Heading2"/>
        <w:keepNext/>
      </w:pPr>
      <w:r>
        <w:t>Controls that protect the enterprise</w:t>
      </w:r>
    </w:p>
    <w:p>
      <w:pPr>
        <w:pStyle w:val="ListBullet"/>
        <w:spacing w:after="60" w:line="247" w:lineRule="auto"/>
        <w:ind w:left="312" w:hanging="159"/>
      </w:pPr>
      <w:r>
        <w:rPr>
          <w:rFonts w:ascii="Aptos" w:hAnsi="Aptos"/>
          <w:b w:val="0"/>
          <w:i w:val="0"/>
          <w:color w:val="22211E"/>
          <w:sz w:val="18"/>
        </w:rPr>
        <w:t>Role-based access and explicit authorisation before entering the Simulation Lab or acting on a recommendation.</w:t>
      </w:r>
    </w:p>
    <w:p>
      <w:pPr>
        <w:pStyle w:val="ListBullet"/>
        <w:spacing w:after="60" w:line="247" w:lineRule="auto"/>
        <w:ind w:left="312" w:hanging="159"/>
      </w:pPr>
      <w:r>
        <w:rPr>
          <w:rFonts w:ascii="Aptos" w:hAnsi="Aptos"/>
          <w:b w:val="0"/>
          <w:i w:val="0"/>
          <w:color w:val="22211E"/>
          <w:sz w:val="18"/>
        </w:rPr>
        <w:t>Separation of live monitoring, private simulation, recommendation, approval and execution.</w:t>
      </w:r>
    </w:p>
    <w:p>
      <w:pPr>
        <w:pStyle w:val="ListBullet"/>
        <w:spacing w:after="60" w:line="247" w:lineRule="auto"/>
        <w:ind w:left="312" w:hanging="159"/>
      </w:pPr>
      <w:r>
        <w:rPr>
          <w:rFonts w:ascii="Aptos" w:hAnsi="Aptos"/>
          <w:b w:val="0"/>
          <w:i w:val="0"/>
          <w:color w:val="22211E"/>
          <w:sz w:val="18"/>
        </w:rPr>
        <w:t>Evidence confidence shown separately from risk severity, so uncertainty is visible rather than hidden.</w:t>
      </w:r>
    </w:p>
    <w:p>
      <w:pPr>
        <w:pStyle w:val="ListBullet"/>
        <w:spacing w:after="60" w:line="247" w:lineRule="auto"/>
        <w:ind w:left="312" w:hanging="159"/>
      </w:pPr>
      <w:r>
        <w:rPr>
          <w:rFonts w:ascii="Aptos" w:hAnsi="Aptos"/>
          <w:b w:val="0"/>
          <w:i w:val="0"/>
          <w:color w:val="22211E"/>
          <w:sz w:val="18"/>
        </w:rPr>
        <w:t>Mandate, approval, preflight checks, rollback plan and emergency stop for any delegated action.</w:t>
      </w:r>
    </w:p>
    <w:p>
      <w:pPr>
        <w:pStyle w:val="ListBullet"/>
        <w:spacing w:after="60" w:line="247" w:lineRule="auto"/>
        <w:ind w:left="312" w:hanging="159"/>
      </w:pPr>
      <w:r>
        <w:rPr>
          <w:rFonts w:ascii="Aptos" w:hAnsi="Aptos"/>
          <w:b w:val="0"/>
          <w:i w:val="0"/>
          <w:color w:val="22211E"/>
          <w:sz w:val="18"/>
        </w:rPr>
        <w:t>A traceable record of source data, configuration, assumptions, decisions, approvals, actions and verified outcomes.</w:t>
      </w:r>
    </w:p>
    <w:p>
      <w:pPr>
        <w:spacing w:after="0" w:line="259" w:lineRule="auto"/>
      </w:pPr>
      <w:r>
        <w:rPr>
          <w:rFonts w:ascii="Aptos" w:hAnsi="Aptos"/>
          <w:b/>
          <w:i w:val="0"/>
          <w:color w:val="22211E"/>
          <w:sz w:val="19"/>
        </w:rPr>
        <w:t>The client retains ownership of its data and decisions.</w:t>
      </w:r>
      <w:r>
        <w:rPr>
          <w:rFonts w:ascii="Aptos" w:hAnsi="Aptos"/>
          <w:b w:val="0"/>
          <w:i w:val="0"/>
          <w:color w:val="22211E"/>
          <w:sz w:val="19"/>
        </w:rPr>
        <w:t xml:space="preserve"> The consultant contributes expertise and controlled support under an agreed mandate.</w:t>
      </w:r>
    </w:p>
    <w:p>
      <w:r>
        <w:br w:type="page"/>
      </w:r>
    </w:p>
    <w:p>
      <w:pPr>
        <w:keepNext/>
        <w:spacing w:before="0" w:after="140"/>
      </w:pPr>
      <w:r>
        <w:rPr>
          <w:rFonts w:ascii="Aptos" w:hAnsi="Aptos"/>
          <w:b/>
          <w:i w:val="0"/>
          <w:color w:val="F04B16"/>
          <w:sz w:val="17"/>
        </w:rPr>
        <w:t>CLIENT ENGAGEMENT</w:t>
      </w:r>
    </w:p>
    <w:p>
      <w:pPr>
        <w:pStyle w:val="Heading1"/>
        <w:keepNext/>
      </w:pPr>
      <w:r>
        <w:t>From onboarding to a controlled pilot</w:t>
      </w:r>
    </w:p>
    <w:p>
      <w:pPr>
        <w:spacing w:after="160" w:line="259" w:lineRule="auto"/>
      </w:pPr>
      <w:r>
        <w:rPr>
          <w:rFonts w:ascii="Aptos" w:hAnsi="Aptos"/>
          <w:b w:val="0"/>
          <w:i w:val="0"/>
          <w:color w:val="22211E"/>
          <w:sz w:val="19"/>
        </w:rPr>
        <w:t>Each enterprise has a different operating model, industry context and risk history. The application is therefore configured in three layers: universal enterprise factors, industry-specific factors and enterprise-unique factors. This preserves comparability while allowing a faithful model of the client’s actual business.</w:t>
      </w:r>
    </w:p>
    <w:p>
      <w:pPr>
        <w:pStyle w:val="Heading2"/>
        <w:keepNext/>
      </w:pPr>
      <w:r>
        <w:t>Proposed engagement sequence</w:t>
      </w:r>
    </w:p>
    <w:tbl>
      <w:tblPr>
        <w:tblStyle w:val="TableGrid"/>
        <w:tblW w:type="auto" w:w="0"/>
        <w:jc w:val="center"/>
        <w:tblLayout w:type="fixed"/>
        <w:tblLook w:firstColumn="1" w:firstRow="1" w:lastColumn="0" w:lastRow="0" w:noHBand="0" w:noVBand="1" w:val="04A0"/>
      </w:tblPr>
      <w:tblGrid>
        <w:gridCol w:w="624"/>
        <w:gridCol w:w="9184"/>
      </w:tblGrid>
      <w:tr>
        <w:trPr>
          <w:cantSplit/>
        </w:trPr>
        <w:tc>
          <w:tcPr>
            <w:tcW w:type="dxa" w:w="5018"/>
            <w:vAlign w:val="center"/>
            <w:tcMar>
              <w:top w:w="100" w:type="dxa"/>
              <w:start w:w="120" w:type="dxa"/>
              <w:bottom w:w="100" w:type="dxa"/>
              <w:end w:w="120" w:type="dxa"/>
            </w:tcMar>
          </w:tcPr>
          <w:p>
            <w:pPr>
              <w:spacing w:after="0" w:before="0" w:line="252" w:lineRule="auto"/>
            </w:pPr>
            <w:r/>
            <w:r>
              <w:rPr>
                <w:rFonts w:ascii="Aptos" w:hAnsi="Aptos"/>
                <w:b/>
                <w:i w:val="0"/>
                <w:color w:val="F04B16"/>
                <w:sz w:val="24"/>
              </w:rPr>
              <w:t>01</w:t>
            </w:r>
          </w:p>
        </w:tc>
        <w:tc>
          <w:tcPr>
            <w:tcW w:type="dxa" w:w="5018"/>
            <w:vAlign w:val="center"/>
            <w:tcMar>
              <w:top w:w="100" w:type="dxa"/>
              <w:start w:w="120" w:type="dxa"/>
              <w:bottom w:w="100" w:type="dxa"/>
              <w:end w:w="120" w:type="dxa"/>
            </w:tcMar>
          </w:tcPr>
          <w:p>
            <w:pPr>
              <w:spacing w:after="0" w:before="0" w:line="252" w:lineRule="auto"/>
            </w:pPr>
            <w:r/>
            <w:r>
              <w:rPr>
                <w:rFonts w:ascii="Aptos" w:hAnsi="Aptos"/>
                <w:b w:val="0"/>
                <w:i w:val="0"/>
                <w:color w:val="22211E"/>
                <w:sz w:val="18"/>
              </w:rPr>
              <w:t>Confirm the accountable Owner, in-house risk analyst, consultant mandate, users and decision authorities.</w:t>
            </w:r>
          </w:p>
        </w:tc>
      </w:tr>
      <w:tr>
        <w:trPr>
          <w:cantSplit/>
        </w:trPr>
        <w:tc>
          <w:tcPr>
            <w:tcW w:type="dxa" w:w="5018"/>
            <w:vAlign w:val="center"/>
            <w:tcMar>
              <w:top w:w="100" w:type="dxa"/>
              <w:start w:w="120" w:type="dxa"/>
              <w:bottom w:w="100" w:type="dxa"/>
              <w:end w:w="120" w:type="dxa"/>
            </w:tcMar>
          </w:tcPr>
          <w:p>
            <w:pPr>
              <w:spacing w:after="0" w:before="0" w:line="252" w:lineRule="auto"/>
            </w:pPr>
            <w:r/>
            <w:r>
              <w:rPr>
                <w:rFonts w:ascii="Aptos" w:hAnsi="Aptos"/>
                <w:b/>
                <w:i w:val="0"/>
                <w:color w:val="F04B16"/>
                <w:sz w:val="24"/>
              </w:rPr>
              <w:t>02</w:t>
            </w:r>
          </w:p>
        </w:tc>
        <w:tc>
          <w:tcPr>
            <w:tcW w:type="dxa" w:w="5018"/>
            <w:vAlign w:val="center"/>
            <w:tcMar>
              <w:top w:w="100" w:type="dxa"/>
              <w:start w:w="120" w:type="dxa"/>
              <w:bottom w:w="100" w:type="dxa"/>
              <w:end w:w="120" w:type="dxa"/>
            </w:tcMar>
          </w:tcPr>
          <w:p>
            <w:pPr>
              <w:spacing w:after="0" w:before="0" w:line="252" w:lineRule="auto"/>
            </w:pPr>
            <w:r/>
            <w:r>
              <w:rPr>
                <w:rFonts w:ascii="Aptos" w:hAnsi="Aptos"/>
                <w:b w:val="0"/>
                <w:i w:val="0"/>
                <w:color w:val="22211E"/>
                <w:sz w:val="18"/>
              </w:rPr>
              <w:t>Complete the three-part onboarding assessment and map business processes, legal entities, data sources, jurisdictions and critical dependencies.</w:t>
            </w:r>
          </w:p>
        </w:tc>
      </w:tr>
      <w:tr>
        <w:trPr>
          <w:cantSplit/>
        </w:trPr>
        <w:tc>
          <w:tcPr>
            <w:tcW w:type="dxa" w:w="5018"/>
            <w:vAlign w:val="center"/>
            <w:tcMar>
              <w:top w:w="100" w:type="dxa"/>
              <w:start w:w="120" w:type="dxa"/>
              <w:bottom w:w="100" w:type="dxa"/>
              <w:end w:w="120" w:type="dxa"/>
            </w:tcMar>
          </w:tcPr>
          <w:p>
            <w:pPr>
              <w:spacing w:after="0" w:before="0" w:line="252" w:lineRule="auto"/>
            </w:pPr>
            <w:r/>
            <w:r>
              <w:rPr>
                <w:rFonts w:ascii="Aptos" w:hAnsi="Aptos"/>
                <w:b/>
                <w:i w:val="0"/>
                <w:color w:val="F04B16"/>
                <w:sz w:val="24"/>
              </w:rPr>
              <w:t>03</w:t>
            </w:r>
          </w:p>
        </w:tc>
        <w:tc>
          <w:tcPr>
            <w:tcW w:type="dxa" w:w="5018"/>
            <w:vAlign w:val="center"/>
            <w:tcMar>
              <w:top w:w="100" w:type="dxa"/>
              <w:start w:w="120" w:type="dxa"/>
              <w:bottom w:w="100" w:type="dxa"/>
              <w:end w:w="120" w:type="dxa"/>
            </w:tcMar>
          </w:tcPr>
          <w:p>
            <w:pPr>
              <w:spacing w:after="0" w:before="0" w:line="252" w:lineRule="auto"/>
            </w:pPr>
            <w:r/>
            <w:r>
              <w:rPr>
                <w:rFonts w:ascii="Aptos" w:hAnsi="Aptos"/>
                <w:b w:val="0"/>
                <w:i w:val="0"/>
                <w:color w:val="22211E"/>
                <w:sz w:val="18"/>
              </w:rPr>
              <w:t>Agree the Data Collection Agreement and local data-protection controls before any online source is connected.</w:t>
            </w:r>
          </w:p>
        </w:tc>
      </w:tr>
      <w:tr>
        <w:trPr>
          <w:cantSplit/>
        </w:trPr>
        <w:tc>
          <w:tcPr>
            <w:tcW w:type="dxa" w:w="5018"/>
            <w:vAlign w:val="center"/>
            <w:tcMar>
              <w:top w:w="100" w:type="dxa"/>
              <w:start w:w="120" w:type="dxa"/>
              <w:bottom w:w="100" w:type="dxa"/>
              <w:end w:w="120" w:type="dxa"/>
            </w:tcMar>
          </w:tcPr>
          <w:p>
            <w:pPr>
              <w:spacing w:after="0" w:before="0" w:line="252" w:lineRule="auto"/>
            </w:pPr>
            <w:r/>
            <w:r>
              <w:rPr>
                <w:rFonts w:ascii="Aptos" w:hAnsi="Aptos"/>
                <w:b/>
                <w:i w:val="0"/>
                <w:color w:val="F04B16"/>
                <w:sz w:val="24"/>
              </w:rPr>
              <w:t>04</w:t>
            </w:r>
          </w:p>
        </w:tc>
        <w:tc>
          <w:tcPr>
            <w:tcW w:type="dxa" w:w="5018"/>
            <w:vAlign w:val="center"/>
            <w:tcMar>
              <w:top w:w="100" w:type="dxa"/>
              <w:start w:w="120" w:type="dxa"/>
              <w:bottom w:w="100" w:type="dxa"/>
              <w:end w:w="120" w:type="dxa"/>
            </w:tcMar>
          </w:tcPr>
          <w:p>
            <w:pPr>
              <w:spacing w:after="0" w:before="0" w:line="252" w:lineRule="auto"/>
            </w:pPr>
            <w:r/>
            <w:r>
              <w:rPr>
                <w:rFonts w:ascii="Aptos" w:hAnsi="Aptos"/>
                <w:b w:val="0"/>
                <w:i w:val="0"/>
                <w:color w:val="22211E"/>
                <w:sz w:val="18"/>
              </w:rPr>
              <w:t>Establish the enterprise baseline, evidence-confidence thresholds and initial model configuration.</w:t>
            </w:r>
          </w:p>
        </w:tc>
      </w:tr>
      <w:tr>
        <w:trPr>
          <w:cantSplit/>
        </w:trPr>
        <w:tc>
          <w:tcPr>
            <w:tcW w:type="dxa" w:w="5018"/>
            <w:vAlign w:val="center"/>
            <w:tcMar>
              <w:top w:w="100" w:type="dxa"/>
              <w:start w:w="120" w:type="dxa"/>
              <w:bottom w:w="100" w:type="dxa"/>
              <w:end w:w="120" w:type="dxa"/>
            </w:tcMar>
          </w:tcPr>
          <w:p>
            <w:pPr>
              <w:spacing w:after="0" w:before="0" w:line="252" w:lineRule="auto"/>
            </w:pPr>
            <w:r/>
            <w:r>
              <w:rPr>
                <w:rFonts w:ascii="Aptos" w:hAnsi="Aptos"/>
                <w:b/>
                <w:i w:val="0"/>
                <w:color w:val="F04B16"/>
                <w:sz w:val="24"/>
              </w:rPr>
              <w:t>05</w:t>
            </w:r>
          </w:p>
        </w:tc>
        <w:tc>
          <w:tcPr>
            <w:tcW w:type="dxa" w:w="5018"/>
            <w:vAlign w:val="center"/>
            <w:tcMar>
              <w:top w:w="100" w:type="dxa"/>
              <w:start w:w="120" w:type="dxa"/>
              <w:bottom w:w="100" w:type="dxa"/>
              <w:end w:w="120" w:type="dxa"/>
            </w:tcMar>
          </w:tcPr>
          <w:p>
            <w:pPr>
              <w:spacing w:after="0" w:before="0" w:line="252" w:lineRule="auto"/>
            </w:pPr>
            <w:r/>
            <w:r>
              <w:rPr>
                <w:rFonts w:ascii="Aptos" w:hAnsi="Aptos"/>
                <w:b w:val="0"/>
                <w:i w:val="0"/>
                <w:color w:val="22211E"/>
                <w:sz w:val="18"/>
              </w:rPr>
              <w:t>Fit candidate weights, coefficients, interactions and probability distributions from approved historical observations; backtest, review and formally activate the calibration.</w:t>
            </w:r>
          </w:p>
        </w:tc>
      </w:tr>
      <w:tr>
        <w:trPr>
          <w:cantSplit/>
        </w:trPr>
        <w:tc>
          <w:tcPr>
            <w:tcW w:type="dxa" w:w="5018"/>
            <w:vAlign w:val="center"/>
            <w:tcMar>
              <w:top w:w="100" w:type="dxa"/>
              <w:start w:w="120" w:type="dxa"/>
              <w:bottom w:w="100" w:type="dxa"/>
              <w:end w:w="120" w:type="dxa"/>
            </w:tcMar>
          </w:tcPr>
          <w:p>
            <w:pPr>
              <w:spacing w:after="0" w:before="0" w:line="252" w:lineRule="auto"/>
            </w:pPr>
            <w:r/>
            <w:r>
              <w:rPr>
                <w:rFonts w:ascii="Aptos" w:hAnsi="Aptos"/>
                <w:b/>
                <w:i w:val="0"/>
                <w:color w:val="F04B16"/>
                <w:sz w:val="24"/>
              </w:rPr>
              <w:t>06</w:t>
            </w:r>
          </w:p>
        </w:tc>
        <w:tc>
          <w:tcPr>
            <w:tcW w:type="dxa" w:w="5018"/>
            <w:vAlign w:val="center"/>
            <w:tcMar>
              <w:top w:w="100" w:type="dxa"/>
              <w:start w:w="120" w:type="dxa"/>
              <w:bottom w:w="100" w:type="dxa"/>
              <w:end w:w="120" w:type="dxa"/>
            </w:tcMar>
          </w:tcPr>
          <w:p>
            <w:pPr>
              <w:spacing w:after="0" w:before="0" w:line="252" w:lineRule="auto"/>
            </w:pPr>
            <w:r/>
            <w:r>
              <w:rPr>
                <w:rFonts w:ascii="Aptos" w:hAnsi="Aptos"/>
                <w:b w:val="0"/>
                <w:i w:val="0"/>
                <w:color w:val="22211E"/>
                <w:sz w:val="18"/>
              </w:rPr>
              <w:t>Run a controlled pilot using selected live sources and agreed scenarios; verify outputs, workflows, decisions and recovery evidence.</w:t>
            </w:r>
          </w:p>
        </w:tc>
      </w:tr>
      <w:tr>
        <w:trPr>
          <w:cantSplit/>
        </w:trPr>
        <w:tc>
          <w:tcPr>
            <w:tcW w:type="dxa" w:w="5018"/>
            <w:vAlign w:val="center"/>
            <w:tcMar>
              <w:top w:w="100" w:type="dxa"/>
              <w:start w:w="120" w:type="dxa"/>
              <w:bottom w:w="100" w:type="dxa"/>
              <w:end w:w="120" w:type="dxa"/>
            </w:tcMar>
          </w:tcPr>
          <w:p>
            <w:pPr>
              <w:spacing w:after="0" w:before="0" w:line="252" w:lineRule="auto"/>
            </w:pPr>
            <w:r/>
            <w:r>
              <w:rPr>
                <w:rFonts w:ascii="Aptos" w:hAnsi="Aptos"/>
                <w:b/>
                <w:i w:val="0"/>
                <w:color w:val="F04B16"/>
                <w:sz w:val="24"/>
              </w:rPr>
              <w:t>07</w:t>
            </w:r>
          </w:p>
        </w:tc>
        <w:tc>
          <w:tcPr>
            <w:tcW w:type="dxa" w:w="5018"/>
            <w:vAlign w:val="center"/>
            <w:tcMar>
              <w:top w:w="100" w:type="dxa"/>
              <w:start w:w="120" w:type="dxa"/>
              <w:bottom w:w="100" w:type="dxa"/>
              <w:end w:w="120" w:type="dxa"/>
            </w:tcMar>
          </w:tcPr>
          <w:p>
            <w:pPr>
              <w:spacing w:after="0" w:before="0" w:line="252" w:lineRule="auto"/>
            </w:pPr>
            <w:r/>
            <w:r>
              <w:rPr>
                <w:rFonts w:ascii="Aptos" w:hAnsi="Aptos"/>
                <w:b w:val="0"/>
                <w:i w:val="0"/>
                <w:color w:val="22211E"/>
                <w:sz w:val="18"/>
              </w:rPr>
              <w:t>Move to operational use only after acceptance criteria, access controls, auditability, support arrangements and governance are approved.</w:t>
            </w:r>
          </w:p>
        </w:tc>
      </w:tr>
    </w:tbl>
    <w:p>
      <w:pPr>
        <w:pStyle w:val="Heading2"/>
        <w:keepNext/>
      </w:pPr>
      <w:r>
        <w:t>What the client receives</w:t>
      </w:r>
    </w:p>
    <w:tbl>
      <w:tblPr>
        <w:tblStyle w:val="TableGrid"/>
        <w:tblW w:type="auto" w:w="0"/>
        <w:jc w:val="center"/>
        <w:tblLook w:firstColumn="1" w:firstRow="1" w:lastColumn="0" w:lastRow="0" w:noHBand="0" w:noVBand="1" w:val="04A0"/>
      </w:tblPr>
      <w:tblGrid>
        <w:gridCol w:w="5018"/>
        <w:gridCol w:w="5018"/>
      </w:tblGrid>
      <w:tr>
        <w:trPr>
          <w:cantSplit/>
        </w:trPr>
        <w:tc>
          <w:tcPr>
            <w:tcW w:type="dxa" w:w="5018"/>
            <w:vAlign w:val="center"/>
            <w:tcMar>
              <w:top w:w="100" w:type="dxa"/>
              <w:start w:w="120" w:type="dxa"/>
              <w:bottom w:w="100" w:type="dxa"/>
              <w:end w:w="120" w:type="dxa"/>
            </w:tcMar>
            <w:shd w:fill="F5F2EB"/>
          </w:tcPr>
          <w:p>
            <w:pPr>
              <w:spacing w:after="0" w:before="0" w:line="252" w:lineRule="auto"/>
            </w:pPr>
            <w:r/>
            <w:r>
              <w:rPr>
                <w:rFonts w:ascii="Aptos" w:hAnsi="Aptos"/>
                <w:b/>
                <w:i w:val="0"/>
                <w:color w:val="F04B16"/>
                <w:sz w:val="18"/>
              </w:rPr>
              <w:t>Configured enterprise model</w:t>
            </w:r>
          </w:p>
        </w:tc>
        <w:tc>
          <w:tcPr>
            <w:tcW w:type="dxa" w:w="5018"/>
            <w:vAlign w:val="center"/>
            <w:tcMar>
              <w:top w:w="100" w:type="dxa"/>
              <w:start w:w="120" w:type="dxa"/>
              <w:bottom w:w="100" w:type="dxa"/>
              <w:end w:w="120" w:type="dxa"/>
            </w:tcMar>
          </w:tcPr>
          <w:p>
            <w:pPr>
              <w:spacing w:after="0" w:before="0" w:line="252" w:lineRule="auto"/>
            </w:pPr>
            <w:r/>
            <w:r>
              <w:rPr>
                <w:rFonts w:ascii="Aptos" w:hAnsi="Aptos"/>
                <w:b w:val="0"/>
                <w:i w:val="0"/>
                <w:color w:val="22211E"/>
                <w:sz w:val="17"/>
              </w:rPr>
              <w:t>Processes, entities, obligations, dependencies, control areas and approved enterprise-specific calibration.</w:t>
            </w:r>
          </w:p>
        </w:tc>
      </w:tr>
      <w:tr>
        <w:trPr>
          <w:cantSplit/>
        </w:trPr>
        <w:tc>
          <w:tcPr>
            <w:tcW w:type="dxa" w:w="5018"/>
            <w:vAlign w:val="center"/>
            <w:tcMar>
              <w:top w:w="100" w:type="dxa"/>
              <w:start w:w="120" w:type="dxa"/>
              <w:bottom w:w="100" w:type="dxa"/>
              <w:end w:w="120" w:type="dxa"/>
            </w:tcMar>
            <w:shd w:fill="F5F2EB"/>
          </w:tcPr>
          <w:p>
            <w:pPr>
              <w:spacing w:after="0" w:before="0" w:line="252" w:lineRule="auto"/>
            </w:pPr>
            <w:r/>
            <w:r>
              <w:rPr>
                <w:rFonts w:ascii="Aptos" w:hAnsi="Aptos"/>
                <w:b/>
                <w:i w:val="0"/>
                <w:color w:val="F04B16"/>
                <w:sz w:val="18"/>
              </w:rPr>
              <w:t>Decision workspace</w:t>
            </w:r>
          </w:p>
        </w:tc>
        <w:tc>
          <w:tcPr>
            <w:tcW w:type="dxa" w:w="5018"/>
            <w:vAlign w:val="center"/>
            <w:tcMar>
              <w:top w:w="100" w:type="dxa"/>
              <w:start w:w="120" w:type="dxa"/>
              <w:bottom w:w="100" w:type="dxa"/>
              <w:end w:w="120" w:type="dxa"/>
            </w:tcMar>
          </w:tcPr>
          <w:p>
            <w:pPr>
              <w:spacing w:after="0" w:before="0" w:line="252" w:lineRule="auto"/>
            </w:pPr>
            <w:r/>
            <w:r>
              <w:rPr>
                <w:rFonts w:ascii="Aptos" w:hAnsi="Aptos"/>
                <w:b w:val="0"/>
                <w:i w:val="0"/>
                <w:color w:val="22211E"/>
                <w:sz w:val="17"/>
              </w:rPr>
              <w:t>Live condition, private simulations, scenario explanations, recovery alternatives and executive intelligence.</w:t>
            </w:r>
          </w:p>
        </w:tc>
      </w:tr>
      <w:tr>
        <w:trPr>
          <w:cantSplit/>
        </w:trPr>
        <w:tc>
          <w:tcPr>
            <w:tcW w:type="dxa" w:w="5018"/>
            <w:vAlign w:val="center"/>
            <w:tcMar>
              <w:top w:w="100" w:type="dxa"/>
              <w:start w:w="120" w:type="dxa"/>
              <w:bottom w:w="100" w:type="dxa"/>
              <w:end w:w="120" w:type="dxa"/>
            </w:tcMar>
            <w:shd w:fill="F5F2EB"/>
          </w:tcPr>
          <w:p>
            <w:pPr>
              <w:spacing w:after="0" w:before="0" w:line="252" w:lineRule="auto"/>
            </w:pPr>
            <w:r/>
            <w:r>
              <w:rPr>
                <w:rFonts w:ascii="Aptos" w:hAnsi="Aptos"/>
                <w:b/>
                <w:i w:val="0"/>
                <w:color w:val="F04B16"/>
                <w:sz w:val="18"/>
              </w:rPr>
              <w:t>Governed operating model</w:t>
            </w:r>
          </w:p>
        </w:tc>
        <w:tc>
          <w:tcPr>
            <w:tcW w:type="dxa" w:w="5018"/>
            <w:vAlign w:val="center"/>
            <w:tcMar>
              <w:top w:w="100" w:type="dxa"/>
              <w:start w:w="120" w:type="dxa"/>
              <w:bottom w:w="100" w:type="dxa"/>
              <w:end w:w="120" w:type="dxa"/>
            </w:tcMar>
          </w:tcPr>
          <w:p>
            <w:pPr>
              <w:spacing w:after="0" w:before="0" w:line="252" w:lineRule="auto"/>
            </w:pPr>
            <w:r/>
            <w:r>
              <w:rPr>
                <w:rFonts w:ascii="Aptos" w:hAnsi="Aptos"/>
                <w:b w:val="0"/>
                <w:i w:val="0"/>
                <w:color w:val="22211E"/>
                <w:sz w:val="17"/>
              </w:rPr>
              <w:t>Named responsibilities, approvals, mandates, evidence requirements, audit trail and implementation controls.</w:t>
            </w:r>
          </w:p>
        </w:tc>
      </w:tr>
      <w:tr>
        <w:trPr>
          <w:cantSplit/>
        </w:trPr>
        <w:tc>
          <w:tcPr>
            <w:tcW w:type="dxa" w:w="5018"/>
            <w:vAlign w:val="center"/>
            <w:tcMar>
              <w:top w:w="100" w:type="dxa"/>
              <w:start w:w="120" w:type="dxa"/>
              <w:bottom w:w="100" w:type="dxa"/>
              <w:end w:w="120" w:type="dxa"/>
            </w:tcMar>
            <w:shd w:fill="F5F2EB"/>
          </w:tcPr>
          <w:p>
            <w:pPr>
              <w:spacing w:after="0" w:before="0" w:line="252" w:lineRule="auto"/>
            </w:pPr>
            <w:r/>
            <w:r>
              <w:rPr>
                <w:rFonts w:ascii="Aptos" w:hAnsi="Aptos"/>
                <w:b/>
                <w:i w:val="0"/>
                <w:color w:val="F04B16"/>
                <w:sz w:val="18"/>
              </w:rPr>
              <w:t>Learning system</w:t>
            </w:r>
          </w:p>
        </w:tc>
        <w:tc>
          <w:tcPr>
            <w:tcW w:type="dxa" w:w="5018"/>
            <w:vAlign w:val="center"/>
            <w:tcMar>
              <w:top w:w="100" w:type="dxa"/>
              <w:start w:w="120" w:type="dxa"/>
              <w:bottom w:w="100" w:type="dxa"/>
              <w:end w:w="120" w:type="dxa"/>
            </w:tcMar>
          </w:tcPr>
          <w:p>
            <w:pPr>
              <w:spacing w:after="0" w:before="0" w:line="252" w:lineRule="auto"/>
            </w:pPr>
            <w:r/>
            <w:r>
              <w:rPr>
                <w:rFonts w:ascii="Aptos" w:hAnsi="Aptos"/>
                <w:b w:val="0"/>
                <w:i w:val="0"/>
                <w:color w:val="22211E"/>
                <w:sz w:val="17"/>
              </w:rPr>
              <w:t>A reviewed library of scenarios, precedents, actions and verified outcomes that improves with responsible use.</w:t>
            </w:r>
          </w:p>
        </w:tc>
      </w:tr>
    </w:tbl>
    <w:p>
      <w:pPr>
        <w:pStyle w:val="Heading2"/>
        <w:keepNext/>
      </w:pPr>
      <w:r>
        <w:t>Current readiness</w:t>
      </w:r>
    </w:p>
    <w:p>
      <w:pPr>
        <w:spacing w:after="140" w:line="259" w:lineRule="auto"/>
      </w:pPr>
      <w:r>
        <w:rPr>
          <w:rFonts w:ascii="Aptos" w:hAnsi="Aptos"/>
          <w:b w:val="0"/>
          <w:i w:val="0"/>
          <w:color w:val="22211E"/>
          <w:sz w:val="19"/>
        </w:rPr>
        <w:t>The application architecture, simulation controls, scenario intelligence, historical calibration workflow and dual operating model are available for controlled user acceptance and pilot preparation. Production use requires the client’s approved identity and access integration, authorised data connections, durable operational hosting, completed data-governance documentation and a successful live-data pilot.</w:t>
      </w:r>
    </w:p>
    <w:p>
      <w:pPr>
        <w:spacing w:before="100" w:after="0"/>
      </w:pPr>
      <w:r>
        <w:rPr>
          <w:rFonts w:ascii="Aptos" w:hAnsi="Aptos"/>
          <w:b/>
          <w:i w:val="0"/>
          <w:color w:val="F04B16"/>
          <w:sz w:val="17"/>
        </w:rPr>
        <w:t>NEXT DOCUMENTS</w:t>
      </w:r>
      <w:r>
        <w:rPr>
          <w:rFonts w:ascii="Aptos" w:hAnsi="Aptos"/>
          <w:b w:val="0"/>
          <w:i w:val="0"/>
          <w:color w:val="66635D"/>
          <w:sz w:val="17"/>
        </w:rPr>
        <w:t xml:space="preserve">  •  Three-part Enterprise Onboarding Workbook  •  Data Collection Agreement and jurisdictional control schedule</w:t>
      </w:r>
    </w:p>
    <w:sectPr w:rsidR="00FC693F" w:rsidRPr="0006063C" w:rsidSect="00034616">
      <w:headerReference w:type="default" r:id="rId9"/>
      <w:footerReference w:type="default" r:id="rId10"/>
      <w:pgSz w:w="11906" w:h="16838"/>
      <w:pgMar w:top="822" w:right="935" w:bottom="765"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635D"/>
        <w:sz w:val="15"/>
      </w:rPr>
      <w:t xml:space="preserve">CONFIDENTIAL   |   </w:t>
    </w:r>
    <w:r>
      <w:rPr>
        <w:rFonts w:ascii="Aptos" w:hAnsi="Aptos"/>
        <w:b w:val="0"/>
        <w:i w:val="0"/>
        <w:color w:val="66635D"/>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i w:val="0"/>
        <w:color w:val="66635D"/>
        <w:sz w:val="15"/>
      </w:rPr>
      <w:t>ENTERPRISE FINANCIAL RESILIENCE</w:t>
    </w:r>
    <w:r>
      <w:rPr>
        <w:rFonts w:ascii="Aptos" w:hAnsi="Aptos"/>
        <w:b w:val="0"/>
        <w:i w:val="0"/>
        <w:color w:val="66635D"/>
        <w:sz w:val="15"/>
      </w:rPr>
      <w:t xml:space="preserve">   |   CLIENT APPLICATION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11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8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Financial Resilience and Control Operating System Client Application Overview</dc:title>
  <dc:subject>Client-facing overview of the application, operating modes, governance and roles</dc:subject>
  <dc:creator>Enterprise Financial Resilience Project</dc:creator>
  <cp:keywords>financial resilience, enterprise risk, simulation, monitoring, governance</cp:keywords>
  <dc:description>generated by python-docx</dc:description>
  <cp:lastModifiedBy/>
  <cp:revision>1</cp:revision>
  <dcterms:created xsi:type="dcterms:W3CDTF">2013-12-23T23:15:00Z</dcterms:created>
  <dcterms:modified xsi:type="dcterms:W3CDTF">2013-12-23T23:15:00Z</dcterms:modified>
  <cp:category/>
</cp:coreProperties>
</file>