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keepNext/>
        <w:spacing w:before="0" w:after="100"/>
      </w:pPr>
      <w:r>
        <w:rPr>
          <w:rFonts w:ascii="Aptos" w:hAnsi="Aptos"/>
          <w:b/>
          <w:i w:val="0"/>
          <w:color w:val="F04B16"/>
          <w:sz w:val="16"/>
        </w:rPr>
        <w:t>CLIENT–CONSULTANT ONLINE DATA COLLECTION</w:t>
      </w:r>
    </w:p>
    <w:p>
      <w:pPr>
        <w:pStyle w:val="Title"/>
        <w:spacing w:after="80"/>
      </w:pPr>
      <w:r>
        <w:t>Data Collection and</w:t>
        <w:br/>
        <w:t>Access Agreement</w:t>
      </w:r>
    </w:p>
    <w:p>
      <w:pPr>
        <w:spacing w:after="300"/>
      </w:pPr>
      <w:r>
        <w:rPr>
          <w:rFonts w:ascii="Aptos" w:hAnsi="Aptos"/>
          <w:b w:val="0"/>
          <w:i w:val="0"/>
          <w:color w:val="66635D"/>
          <w:sz w:val="26"/>
        </w:rPr>
        <w:t>Enterprise Financial Resilience and Control Operating System</w:t>
      </w:r>
    </w:p>
    <w:p>
      <w:pPr>
        <w:spacing w:after="260" w:line="252" w:lineRule="auto"/>
      </w:pPr>
      <w:r>
        <w:rPr>
          <w:rFonts w:ascii="Aptos" w:hAnsi="Aptos"/>
          <w:b w:val="0"/>
          <w:i w:val="0"/>
          <w:color w:val="22211E"/>
          <w:sz w:val="21"/>
        </w:rPr>
        <w:t>This agreement governs authorised online collection, access, transfer, use, protection and deletion of Client Data used for enterprise monitoring, private simulation, expert assessment and controlled implementation support.</w:t>
      </w:r>
    </w:p>
    <w:tbl>
      <w:tblPr>
        <w:tblStyle w:val="TableGrid"/>
        <w:tblW w:type="auto" w:w="0"/>
        <w:jc w:val="center"/>
        <w:tblLook w:firstColumn="1" w:firstRow="1" w:lastColumn="0" w:lastRow="0" w:noHBand="0" w:noVBand="1" w:val="04A0"/>
      </w:tblPr>
      <w:tblGrid>
        <w:gridCol w:w="5074"/>
        <w:gridCol w:w="5074"/>
      </w:tblGrid>
      <w:tr>
        <w:trPr>
          <w:cantSplit/>
        </w:trPr>
        <w:tc>
          <w:tcPr>
            <w:tcW w:type="dxa" w:w="5074"/>
            <w:vAlign w:val="center"/>
            <w:tcMar>
              <w:top w:w="70" w:type="dxa"/>
              <w:start w:w="90" w:type="dxa"/>
              <w:bottom w:w="70" w:type="dxa"/>
              <w:end w:w="90" w:type="dxa"/>
            </w:tcMar>
            <w:shd w:fill="F5F2EB"/>
          </w:tcPr>
          <w:p>
            <w:pPr>
              <w:spacing w:before="0" w:after="0" w:line="240" w:lineRule="auto"/>
            </w:pPr>
            <w:r/>
            <w:r>
              <w:rPr>
                <w:rFonts w:ascii="Aptos" w:hAnsi="Aptos"/>
                <w:b/>
                <w:i w:val="0"/>
                <w:color w:val="22211E"/>
                <w:sz w:val="17"/>
              </w:rPr>
              <w:t>Client</w:t>
            </w:r>
          </w:p>
        </w:tc>
        <w:tc>
          <w:tcPr>
            <w:tcW w:type="dxa" w:w="5074"/>
            <w:vAlign w:val="center"/>
            <w:tcMar>
              <w:top w:w="70" w:type="dxa"/>
              <w:start w:w="90" w:type="dxa"/>
              <w:bottom w:w="70" w:type="dxa"/>
              <w:end w:w="90" w:type="dxa"/>
            </w:tcMar>
            <w:shd w:fill="FFF2CC"/>
          </w:tcPr>
          <w:p>
            <w:pPr>
              <w:spacing w:before="0" w:after="0" w:line="240" w:lineRule="auto"/>
            </w:pPr>
            <w:r/>
            <w:r>
              <w:rPr>
                <w:rFonts w:ascii="Aptos" w:hAnsi="Aptos"/>
                <w:b w:val="0"/>
                <w:i w:val="0"/>
                <w:color w:val="22211E"/>
                <w:sz w:val="17"/>
              </w:rPr>
              <w:t>[Legal name, registration number and address]</w:t>
            </w:r>
          </w:p>
        </w:tc>
      </w:tr>
      <w:tr>
        <w:trPr>
          <w:cantSplit/>
        </w:trPr>
        <w:tc>
          <w:tcPr>
            <w:tcW w:type="dxa" w:w="5074"/>
            <w:vAlign w:val="center"/>
            <w:tcMar>
              <w:top w:w="70" w:type="dxa"/>
              <w:start w:w="90" w:type="dxa"/>
              <w:bottom w:w="70" w:type="dxa"/>
              <w:end w:w="90" w:type="dxa"/>
            </w:tcMar>
            <w:shd w:fill="F5F2EB"/>
          </w:tcPr>
          <w:p>
            <w:pPr>
              <w:spacing w:before="0" w:after="0" w:line="240" w:lineRule="auto"/>
            </w:pPr>
            <w:r/>
            <w:r>
              <w:rPr>
                <w:rFonts w:ascii="Aptos" w:hAnsi="Aptos"/>
                <w:b/>
                <w:i w:val="0"/>
                <w:color w:val="22211E"/>
                <w:sz w:val="17"/>
              </w:rPr>
              <w:t>Consultant</w:t>
            </w:r>
          </w:p>
        </w:tc>
        <w:tc>
          <w:tcPr>
            <w:tcW w:type="dxa" w:w="5074"/>
            <w:vAlign w:val="center"/>
            <w:tcMar>
              <w:top w:w="70" w:type="dxa"/>
              <w:start w:w="90" w:type="dxa"/>
              <w:bottom w:w="70" w:type="dxa"/>
              <w:end w:w="90" w:type="dxa"/>
            </w:tcMar>
            <w:shd w:fill="FFF2CC"/>
          </w:tcPr>
          <w:p>
            <w:pPr>
              <w:spacing w:before="0" w:after="0" w:line="240" w:lineRule="auto"/>
            </w:pPr>
            <w:r/>
            <w:r>
              <w:rPr>
                <w:rFonts w:ascii="Aptos" w:hAnsi="Aptos"/>
                <w:b w:val="0"/>
                <w:i w:val="0"/>
                <w:color w:val="22211E"/>
                <w:sz w:val="17"/>
              </w:rPr>
              <w:t>[Legal name, registration number and address]</w:t>
            </w:r>
          </w:p>
        </w:tc>
      </w:tr>
      <w:tr>
        <w:trPr>
          <w:cantSplit/>
        </w:trPr>
        <w:tc>
          <w:tcPr>
            <w:tcW w:type="dxa" w:w="5074"/>
            <w:vAlign w:val="center"/>
            <w:tcMar>
              <w:top w:w="70" w:type="dxa"/>
              <w:start w:w="90" w:type="dxa"/>
              <w:bottom w:w="70" w:type="dxa"/>
              <w:end w:w="90" w:type="dxa"/>
            </w:tcMar>
            <w:shd w:fill="F5F2EB"/>
          </w:tcPr>
          <w:p>
            <w:pPr>
              <w:spacing w:before="0" w:after="0" w:line="240" w:lineRule="auto"/>
            </w:pPr>
            <w:r/>
            <w:r>
              <w:rPr>
                <w:rFonts w:ascii="Aptos" w:hAnsi="Aptos"/>
                <w:b/>
                <w:i w:val="0"/>
                <w:color w:val="22211E"/>
                <w:sz w:val="17"/>
              </w:rPr>
              <w:t>Effective date</w:t>
            </w:r>
          </w:p>
        </w:tc>
        <w:tc>
          <w:tcPr>
            <w:tcW w:type="dxa" w:w="5074"/>
            <w:vAlign w:val="center"/>
            <w:tcMar>
              <w:top w:w="70" w:type="dxa"/>
              <w:start w:w="90" w:type="dxa"/>
              <w:bottom w:w="70" w:type="dxa"/>
              <w:end w:w="90" w:type="dxa"/>
            </w:tcMar>
            <w:shd w:fill="FFF2CC"/>
          </w:tcPr>
          <w:p>
            <w:pPr>
              <w:spacing w:before="0" w:after="0" w:line="240" w:lineRule="auto"/>
            </w:pPr>
            <w:r/>
            <w:r>
              <w:rPr>
                <w:rFonts w:ascii="Aptos" w:hAnsi="Aptos"/>
                <w:b w:val="0"/>
                <w:i w:val="0"/>
                <w:color w:val="22211E"/>
                <w:sz w:val="17"/>
              </w:rPr>
              <w:t>[DD Month YYYY]</w:t>
            </w:r>
          </w:p>
        </w:tc>
      </w:tr>
      <w:tr>
        <w:trPr>
          <w:cantSplit/>
        </w:trPr>
        <w:tc>
          <w:tcPr>
            <w:tcW w:type="dxa" w:w="5074"/>
            <w:vAlign w:val="center"/>
            <w:tcMar>
              <w:top w:w="70" w:type="dxa"/>
              <w:start w:w="90" w:type="dxa"/>
              <w:bottom w:w="70" w:type="dxa"/>
              <w:end w:w="90" w:type="dxa"/>
            </w:tcMar>
            <w:shd w:fill="F5F2EB"/>
          </w:tcPr>
          <w:p>
            <w:pPr>
              <w:spacing w:before="0" w:after="0" w:line="240" w:lineRule="auto"/>
            </w:pPr>
            <w:r/>
            <w:r>
              <w:rPr>
                <w:rFonts w:ascii="Aptos" w:hAnsi="Aptos"/>
                <w:b/>
                <w:i w:val="0"/>
                <w:color w:val="22211E"/>
                <w:sz w:val="17"/>
              </w:rPr>
              <w:t>Initial term</w:t>
            </w:r>
          </w:p>
        </w:tc>
        <w:tc>
          <w:tcPr>
            <w:tcW w:type="dxa" w:w="5074"/>
            <w:vAlign w:val="center"/>
            <w:tcMar>
              <w:top w:w="70" w:type="dxa"/>
              <w:start w:w="90" w:type="dxa"/>
              <w:bottom w:w="70" w:type="dxa"/>
              <w:end w:w="90" w:type="dxa"/>
            </w:tcMar>
            <w:shd w:fill="FFF2CC"/>
          </w:tcPr>
          <w:p>
            <w:pPr>
              <w:spacing w:before="0" w:after="0" w:line="240" w:lineRule="auto"/>
            </w:pPr>
            <w:r/>
            <w:r>
              <w:rPr>
                <w:rFonts w:ascii="Aptos" w:hAnsi="Aptos"/>
                <w:b w:val="0"/>
                <w:i w:val="0"/>
                <w:color w:val="22211E"/>
                <w:sz w:val="17"/>
              </w:rPr>
              <w:t>[Term or end date]</w:t>
            </w:r>
          </w:p>
        </w:tc>
      </w:tr>
      <w:tr>
        <w:trPr>
          <w:cantSplit/>
        </w:trPr>
        <w:tc>
          <w:tcPr>
            <w:tcW w:type="dxa" w:w="5074"/>
            <w:vAlign w:val="center"/>
            <w:tcMar>
              <w:top w:w="70" w:type="dxa"/>
              <w:start w:w="90" w:type="dxa"/>
              <w:bottom w:w="70" w:type="dxa"/>
              <w:end w:w="90" w:type="dxa"/>
            </w:tcMar>
            <w:shd w:fill="F5F2EB"/>
          </w:tcPr>
          <w:p>
            <w:pPr>
              <w:spacing w:before="0" w:after="0" w:line="240" w:lineRule="auto"/>
            </w:pPr>
            <w:r/>
            <w:r>
              <w:rPr>
                <w:rFonts w:ascii="Aptos" w:hAnsi="Aptos"/>
                <w:b/>
                <w:i w:val="0"/>
                <w:color w:val="22211E"/>
                <w:sz w:val="17"/>
              </w:rPr>
              <w:t>Client Enterprise Owner</w:t>
            </w:r>
          </w:p>
        </w:tc>
        <w:tc>
          <w:tcPr>
            <w:tcW w:type="dxa" w:w="5074"/>
            <w:vAlign w:val="center"/>
            <w:tcMar>
              <w:top w:w="70" w:type="dxa"/>
              <w:start w:w="90" w:type="dxa"/>
              <w:bottom w:w="70" w:type="dxa"/>
              <w:end w:w="90" w:type="dxa"/>
            </w:tcMar>
            <w:shd w:fill="FFF2CC"/>
          </w:tcPr>
          <w:p>
            <w:pPr>
              <w:spacing w:before="0" w:after="0" w:line="240" w:lineRule="auto"/>
            </w:pPr>
            <w:r/>
            <w:r>
              <w:rPr>
                <w:rFonts w:ascii="Aptos" w:hAnsi="Aptos"/>
                <w:b w:val="0"/>
                <w:i w:val="0"/>
                <w:color w:val="22211E"/>
                <w:sz w:val="17"/>
              </w:rPr>
              <w:t>[Name, title and contact]</w:t>
            </w:r>
          </w:p>
        </w:tc>
      </w:tr>
      <w:tr>
        <w:trPr>
          <w:cantSplit/>
        </w:trPr>
        <w:tc>
          <w:tcPr>
            <w:tcW w:type="dxa" w:w="5074"/>
            <w:vAlign w:val="center"/>
            <w:tcMar>
              <w:top w:w="70" w:type="dxa"/>
              <w:start w:w="90" w:type="dxa"/>
              <w:bottom w:w="70" w:type="dxa"/>
              <w:end w:w="90" w:type="dxa"/>
            </w:tcMar>
            <w:shd w:fill="F5F2EB"/>
          </w:tcPr>
          <w:p>
            <w:pPr>
              <w:spacing w:before="0" w:after="0" w:line="240" w:lineRule="auto"/>
            </w:pPr>
            <w:r/>
            <w:r>
              <w:rPr>
                <w:rFonts w:ascii="Aptos" w:hAnsi="Aptos"/>
                <w:b/>
                <w:i w:val="0"/>
                <w:color w:val="22211E"/>
                <w:sz w:val="17"/>
              </w:rPr>
              <w:t>Client Privacy / Data Protection Lead</w:t>
            </w:r>
          </w:p>
        </w:tc>
        <w:tc>
          <w:tcPr>
            <w:tcW w:type="dxa" w:w="5074"/>
            <w:vAlign w:val="center"/>
            <w:tcMar>
              <w:top w:w="70" w:type="dxa"/>
              <w:start w:w="90" w:type="dxa"/>
              <w:bottom w:w="70" w:type="dxa"/>
              <w:end w:w="90" w:type="dxa"/>
            </w:tcMar>
            <w:shd w:fill="FFF2CC"/>
          </w:tcPr>
          <w:p>
            <w:pPr>
              <w:spacing w:before="0" w:after="0" w:line="240" w:lineRule="auto"/>
            </w:pPr>
            <w:r/>
            <w:r>
              <w:rPr>
                <w:rFonts w:ascii="Aptos" w:hAnsi="Aptos"/>
                <w:b w:val="0"/>
                <w:i w:val="0"/>
                <w:color w:val="22211E"/>
                <w:sz w:val="17"/>
              </w:rPr>
              <w:t>[Name, title and contact]</w:t>
            </w:r>
          </w:p>
        </w:tc>
      </w:tr>
      <w:tr>
        <w:trPr>
          <w:cantSplit/>
        </w:trPr>
        <w:tc>
          <w:tcPr>
            <w:tcW w:type="dxa" w:w="5074"/>
            <w:vAlign w:val="center"/>
            <w:tcMar>
              <w:top w:w="70" w:type="dxa"/>
              <w:start w:w="90" w:type="dxa"/>
              <w:bottom w:w="70" w:type="dxa"/>
              <w:end w:w="90" w:type="dxa"/>
            </w:tcMar>
            <w:shd w:fill="F5F2EB"/>
          </w:tcPr>
          <w:p>
            <w:pPr>
              <w:spacing w:before="0" w:after="0" w:line="240" w:lineRule="auto"/>
            </w:pPr>
            <w:r/>
            <w:r>
              <w:rPr>
                <w:rFonts w:ascii="Aptos" w:hAnsi="Aptos"/>
                <w:b/>
                <w:i w:val="0"/>
                <w:color w:val="22211E"/>
                <w:sz w:val="17"/>
              </w:rPr>
              <w:t>Consultant Engagement Lead</w:t>
            </w:r>
          </w:p>
        </w:tc>
        <w:tc>
          <w:tcPr>
            <w:tcW w:type="dxa" w:w="5074"/>
            <w:vAlign w:val="center"/>
            <w:tcMar>
              <w:top w:w="70" w:type="dxa"/>
              <w:start w:w="90" w:type="dxa"/>
              <w:bottom w:w="70" w:type="dxa"/>
              <w:end w:w="90" w:type="dxa"/>
            </w:tcMar>
            <w:shd w:fill="FFF2CC"/>
          </w:tcPr>
          <w:p>
            <w:pPr>
              <w:spacing w:before="0" w:after="0" w:line="240" w:lineRule="auto"/>
            </w:pPr>
            <w:r/>
            <w:r>
              <w:rPr>
                <w:rFonts w:ascii="Aptos" w:hAnsi="Aptos"/>
                <w:b w:val="0"/>
                <w:i w:val="0"/>
                <w:color w:val="22211E"/>
                <w:sz w:val="17"/>
              </w:rPr>
              <w:t>[Name, title and contact]</w:t>
            </w:r>
          </w:p>
        </w:tc>
      </w:tr>
      <w:tr>
        <w:trPr>
          <w:cantSplit/>
        </w:trPr>
        <w:tc>
          <w:tcPr>
            <w:tcW w:type="dxa" w:w="5074"/>
            <w:vAlign w:val="center"/>
            <w:tcMar>
              <w:top w:w="70" w:type="dxa"/>
              <w:start w:w="90" w:type="dxa"/>
              <w:bottom w:w="70" w:type="dxa"/>
              <w:end w:w="90" w:type="dxa"/>
            </w:tcMar>
            <w:shd w:fill="F5F2EB"/>
          </w:tcPr>
          <w:p>
            <w:pPr>
              <w:spacing w:before="0" w:after="0" w:line="240" w:lineRule="auto"/>
            </w:pPr>
            <w:r/>
            <w:r>
              <w:rPr>
                <w:rFonts w:ascii="Aptos" w:hAnsi="Aptos"/>
                <w:b/>
                <w:i w:val="0"/>
                <w:color w:val="22211E"/>
                <w:sz w:val="17"/>
              </w:rPr>
              <w:t>Selected delivery model</w:t>
            </w:r>
          </w:p>
        </w:tc>
        <w:tc>
          <w:tcPr>
            <w:tcW w:type="dxa" w:w="5074"/>
            <w:vAlign w:val="center"/>
            <w:tcMar>
              <w:top w:w="70" w:type="dxa"/>
              <w:start w:w="90" w:type="dxa"/>
              <w:bottom w:w="70" w:type="dxa"/>
              <w:end w:w="90" w:type="dxa"/>
            </w:tcMar>
            <w:shd w:fill="FFF2CC"/>
          </w:tcPr>
          <w:p>
            <w:pPr>
              <w:spacing w:before="0" w:after="0" w:line="240" w:lineRule="auto"/>
            </w:pPr>
            <w:r/>
            <w:r>
              <w:rPr>
                <w:rFonts w:ascii="Aptos" w:hAnsi="Aptos"/>
                <w:b w:val="0"/>
                <w:i w:val="0"/>
                <w:color w:val="22211E"/>
                <w:sz w:val="17"/>
              </w:rPr>
              <w:t>[Enterprise-Operated / Consultant-Led / Hybrid]</w:t>
            </w:r>
          </w:p>
        </w:tc>
      </w:tr>
    </w:tbl>
    <w:p>
      <w:pPr>
        <w:pStyle w:val="Heading2"/>
        <w:keepNext/>
      </w:pPr>
      <w:r>
        <w:t>Activation condition</w:t>
      </w:r>
    </w:p>
    <w:p>
      <w:pPr>
        <w:spacing w:after="140" w:line="252" w:lineRule="auto"/>
      </w:pPr>
      <w:r>
        <w:rPr>
          <w:rFonts w:ascii="Aptos" w:hAnsi="Aptos"/>
          <w:b w:val="0"/>
          <w:i w:val="0"/>
          <w:color w:val="22211E"/>
          <w:sz w:val="18"/>
        </w:rPr>
        <w:t>No online source may be connected until Schedule 1 identifies the source, purpose, fields, lawful basis or other permitted ground, collection method, locations, retention period, owner and approval. Where personal data is involved, Schedule 3 must identify the applicable jurisdiction and transfer mechanism.</w:t>
      </w:r>
    </w:p>
    <w:p>
      <w:pPr>
        <w:spacing w:before="80"/>
      </w:pPr>
      <w:r>
        <w:rPr>
          <w:rFonts w:ascii="Aptos" w:hAnsi="Aptos"/>
          <w:b/>
          <w:i w:val="0"/>
          <w:color w:val="F04B16"/>
          <w:sz w:val="16"/>
        </w:rPr>
        <w:t>DOCUMENT STATUS</w:t>
      </w:r>
      <w:r>
        <w:rPr>
          <w:rFonts w:ascii="Aptos" w:hAnsi="Aptos"/>
          <w:b w:val="0"/>
          <w:i w:val="0"/>
          <w:color w:val="66635D"/>
          <w:sz w:val="16"/>
        </w:rPr>
        <w:t xml:space="preserve">  Contract draft for client legal, privacy, security and operational review before execution.</w:t>
      </w:r>
    </w:p>
    <w:p>
      <w:r>
        <w:br w:type="page"/>
      </w:r>
    </w:p>
    <w:p>
      <w:pPr>
        <w:keepNext/>
        <w:spacing w:before="0" w:after="100"/>
      </w:pPr>
      <w:r>
        <w:rPr>
          <w:rFonts w:ascii="Aptos" w:hAnsi="Aptos"/>
          <w:b/>
          <w:i w:val="0"/>
          <w:color w:val="F04B16"/>
          <w:sz w:val="16"/>
        </w:rPr>
        <w:t>CORE AGREEMENT</w:t>
      </w:r>
    </w:p>
    <w:p>
      <w:pPr>
        <w:pStyle w:val="Heading1"/>
        <w:keepNext/>
      </w:pPr>
      <w:r>
        <w:t>Purpose, scope and roles</w:t>
      </w:r>
    </w:p>
    <w:p>
      <w:pPr>
        <w:keepNext/>
        <w:spacing w:before="60" w:after="40"/>
      </w:pPr>
      <w:r>
        <w:rPr>
          <w:rFonts w:ascii="Aptos" w:hAnsi="Aptos"/>
          <w:b/>
          <w:i w:val="0"/>
          <w:color w:val="22211E"/>
          <w:sz w:val="20"/>
        </w:rPr>
        <w:t>1  Purpose</w:t>
      </w:r>
    </w:p>
    <w:p>
      <w:pPr>
        <w:spacing w:after="80" w:line="252" w:lineRule="auto"/>
      </w:pPr>
      <w:r>
        <w:rPr>
          <w:rFonts w:ascii="Aptos" w:hAnsi="Aptos"/>
          <w:b w:val="0"/>
          <w:i w:val="0"/>
          <w:color w:val="22211E"/>
          <w:sz w:val="18"/>
        </w:rPr>
        <w:t>The Client appoints the Consultant to collect or access the Client Data listed in Schedule 1 solely to provide the approved enterprise resilience services. The Consultant shall process Client Data only for the documented purposes, within the approved mandate and subject to this Agreement.</w:t>
      </w:r>
    </w:p>
    <w:p>
      <w:pPr>
        <w:keepNext/>
        <w:spacing w:before="60" w:after="40"/>
      </w:pPr>
      <w:r>
        <w:rPr>
          <w:rFonts w:ascii="Aptos" w:hAnsi="Aptos"/>
          <w:b/>
          <w:i w:val="0"/>
          <w:color w:val="22211E"/>
          <w:sz w:val="20"/>
        </w:rPr>
        <w:t>2  Scope</w:t>
      </w:r>
    </w:p>
    <w:p>
      <w:pPr>
        <w:spacing w:after="80" w:line="252" w:lineRule="auto"/>
      </w:pPr>
      <w:r>
        <w:rPr>
          <w:rFonts w:ascii="Aptos" w:hAnsi="Aptos"/>
          <w:b w:val="0"/>
          <w:i w:val="0"/>
          <w:color w:val="22211E"/>
          <w:sz w:val="18"/>
        </w:rPr>
        <w:t>This Agreement applies to data obtained through application programming interfaces, secure file transfer, database read replicas, approved portal exports, evidence uploads or other methods expressly recorded in Schedule 1. It applies to live monitoring, private simulation, expert assessment, recommendations, implementation support and outcome verification.</w:t>
      </w:r>
    </w:p>
    <w:p>
      <w:pPr>
        <w:keepNext/>
        <w:spacing w:before="60" w:after="40"/>
      </w:pPr>
      <w:r>
        <w:rPr>
          <w:rFonts w:ascii="Aptos" w:hAnsi="Aptos"/>
          <w:b/>
          <w:i w:val="0"/>
          <w:color w:val="22211E"/>
          <w:sz w:val="20"/>
        </w:rPr>
        <w:t>3  Order of precedence</w:t>
      </w:r>
    </w:p>
    <w:p>
      <w:pPr>
        <w:spacing w:after="80" w:line="252" w:lineRule="auto"/>
      </w:pPr>
      <w:r>
        <w:rPr>
          <w:rFonts w:ascii="Aptos" w:hAnsi="Aptos"/>
          <w:b w:val="0"/>
          <w:i w:val="0"/>
          <w:color w:val="22211E"/>
          <w:sz w:val="18"/>
        </w:rPr>
        <w:t>Applicable law and mandatory regulatory requirements prevail. The executed master services agreement then applies, followed by this Agreement and its schedules. A stricter protection in this Agreement applies unless it conflicts with mandatory law. A jurisdictional transfer clause required by law prevails for that transfer.</w:t>
      </w:r>
    </w:p>
    <w:p>
      <w:pPr>
        <w:keepNext/>
        <w:spacing w:before="60" w:after="40"/>
      </w:pPr>
      <w:r>
        <w:rPr>
          <w:rFonts w:ascii="Aptos" w:hAnsi="Aptos"/>
          <w:b/>
          <w:i w:val="0"/>
          <w:color w:val="22211E"/>
          <w:sz w:val="20"/>
        </w:rPr>
        <w:t>4  Data roles</w:t>
      </w:r>
    </w:p>
    <w:p>
      <w:pPr>
        <w:spacing w:after="80" w:line="252" w:lineRule="auto"/>
      </w:pPr>
      <w:r>
        <w:rPr>
          <w:rFonts w:ascii="Aptos" w:hAnsi="Aptos"/>
          <w:b w:val="0"/>
          <w:i w:val="0"/>
          <w:color w:val="22211E"/>
          <w:sz w:val="18"/>
        </w:rPr>
        <w:t>The parties shall record their legal roles in Schedule 3 for each processing activity. Ordinarily, the Client determines why Client Data is processed and acts as Data Fiduciary, Controller, Business or equivalent. The Consultant acts as Data Processor, Processor, Operator, Service Provider, Contractor or data intermediary when acting only on documented Client instructions. Contract labels do not override the parties’ actual conduct or applicable law.</w:t>
      </w:r>
    </w:p>
    <w:p>
      <w:pPr>
        <w:keepNext/>
        <w:spacing w:before="60" w:after="40"/>
      </w:pPr>
      <w:r>
        <w:rPr>
          <w:rFonts w:ascii="Aptos" w:hAnsi="Aptos"/>
          <w:b/>
          <w:i w:val="0"/>
          <w:color w:val="22211E"/>
          <w:sz w:val="20"/>
        </w:rPr>
        <w:t>5  No independent use</w:t>
      </w:r>
    </w:p>
    <w:p>
      <w:pPr>
        <w:spacing w:after="80" w:line="252" w:lineRule="auto"/>
      </w:pPr>
      <w:r>
        <w:rPr>
          <w:rFonts w:ascii="Aptos" w:hAnsi="Aptos"/>
          <w:b w:val="0"/>
          <w:i w:val="0"/>
          <w:color w:val="22211E"/>
          <w:sz w:val="18"/>
        </w:rPr>
        <w:t>The Consultant shall not sell, share, monetise, advertise against, combine for an independent purpose, or use Client Personal Data to train or improve a general model. Any independent purpose requires a separate written agreement, role assessment, transparency measure and lawful basis before processing begins.</w:t>
      </w:r>
    </w:p>
    <w:p>
      <w:pPr>
        <w:keepNext/>
        <w:spacing w:before="60" w:after="40"/>
      </w:pPr>
      <w:r>
        <w:rPr>
          <w:rFonts w:ascii="Aptos" w:hAnsi="Aptos"/>
          <w:b/>
          <w:i w:val="0"/>
          <w:color w:val="22211E"/>
          <w:sz w:val="20"/>
        </w:rPr>
        <w:t>6  Documented instructions</w:t>
      </w:r>
    </w:p>
    <w:p>
      <w:pPr>
        <w:spacing w:after="80" w:line="252" w:lineRule="auto"/>
      </w:pPr>
      <w:r>
        <w:rPr>
          <w:rFonts w:ascii="Aptos" w:hAnsi="Aptos"/>
          <w:b w:val="0"/>
          <w:i w:val="0"/>
          <w:color w:val="22211E"/>
          <w:sz w:val="18"/>
        </w:rPr>
        <w:t>The Client’s instructions consist of this Agreement, completed schedules, approved change records and written directions from authorised persons. If an instruction appears to breach applicable data-protection law, the Consultant shall promptly notify the Client and suspend the affected processing unless prohibited by law.</w:t>
      </w:r>
    </w:p>
    <w:p>
      <w:pPr>
        <w:keepNext/>
        <w:spacing w:before="60" w:after="40"/>
      </w:pPr>
      <w:r>
        <w:rPr>
          <w:rFonts w:ascii="Aptos" w:hAnsi="Aptos"/>
          <w:b/>
          <w:i w:val="0"/>
          <w:color w:val="22211E"/>
          <w:sz w:val="20"/>
        </w:rPr>
        <w:t>7  Data minimisation</w:t>
      </w:r>
    </w:p>
    <w:p>
      <w:pPr>
        <w:spacing w:after="80" w:line="252" w:lineRule="auto"/>
      </w:pPr>
      <w:r>
        <w:rPr>
          <w:rFonts w:ascii="Aptos" w:hAnsi="Aptos"/>
          <w:b w:val="0"/>
          <w:i w:val="0"/>
          <w:color w:val="22211E"/>
          <w:sz w:val="18"/>
        </w:rPr>
        <w:t>The parties shall prefer aggregated, pseudonymised or non-personal enterprise data. Personal Data shall be collected only where necessary for an approved factor or control. Sensitive, special-category, children’s, biometric, health, criminal-offence, precise-location or government-identifier data is excluded unless Schedule 1 expressly identifies it and enhanced controls are approved.</w:t>
      </w:r>
    </w:p>
    <w:p>
      <w:pPr>
        <w:pStyle w:val="Heading2"/>
        <w:keepNext/>
      </w:pPr>
      <w:r>
        <w:t>Defined terms</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38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Term</w:t>
            </w:r>
          </w:p>
        </w:tc>
        <w:tc>
          <w:tcPr>
            <w:tcW w:type="dxa" w:w="782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Meaning</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Client Data</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All data, records, evidence, credentials, metadata and derived client-specific outputs supplied by or collected for the Client.</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Personal Data</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Information relating to an identified or identifiable individual, including equivalent local-law terms.</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Processing</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Any operation on data, including collection, access, retrieval, transmission, storage, analysis, alteration, disclosure or deletion.</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Security Incident</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A suspected or confirmed event affecting confidentiality, integrity, availability or authorised processing of Client Data.</w:t>
            </w:r>
          </w:p>
        </w:tc>
      </w:tr>
    </w:tbl>
    <w:p>
      <w:r>
        <w:br w:type="page"/>
      </w:r>
    </w:p>
    <w:p>
      <w:pPr>
        <w:keepNext/>
        <w:spacing w:before="0" w:after="100"/>
      </w:pPr>
      <w:r>
        <w:rPr>
          <w:rFonts w:ascii="Aptos" w:hAnsi="Aptos"/>
          <w:b/>
          <w:i w:val="0"/>
          <w:color w:val="F04B16"/>
          <w:sz w:val="16"/>
        </w:rPr>
        <w:t>CORE AGREEMENT</w:t>
      </w:r>
    </w:p>
    <w:p>
      <w:pPr>
        <w:pStyle w:val="Heading1"/>
        <w:keepNext/>
      </w:pPr>
      <w:r>
        <w:t>Online collection and operational controls</w:t>
      </w:r>
    </w:p>
    <w:p>
      <w:pPr>
        <w:keepNext/>
        <w:spacing w:before="60" w:after="40"/>
      </w:pPr>
      <w:r>
        <w:rPr>
          <w:rFonts w:ascii="Aptos" w:hAnsi="Aptos"/>
          <w:b/>
          <w:i w:val="0"/>
          <w:color w:val="22211E"/>
          <w:sz w:val="20"/>
        </w:rPr>
        <w:t>8  Approved sources</w:t>
      </w:r>
    </w:p>
    <w:p>
      <w:pPr>
        <w:spacing w:after="80" w:line="252" w:lineRule="auto"/>
      </w:pPr>
      <w:r>
        <w:rPr>
          <w:rFonts w:ascii="Aptos" w:hAnsi="Aptos"/>
          <w:b w:val="0"/>
          <w:i w:val="0"/>
          <w:color w:val="22211E"/>
          <w:sz w:val="18"/>
        </w:rPr>
        <w:t>The Consultant shall connect only to sources listed as Approved in Schedule 1. Screen scraping, unrestricted production access, shared credentials and collection from personal accounts are prohibited unless the Client expressly approves the method, records the necessity and applies additional controls.</w:t>
      </w:r>
    </w:p>
    <w:p>
      <w:pPr>
        <w:keepNext/>
        <w:spacing w:before="60" w:after="40"/>
      </w:pPr>
      <w:r>
        <w:rPr>
          <w:rFonts w:ascii="Aptos" w:hAnsi="Aptos"/>
          <w:b/>
          <w:i w:val="0"/>
          <w:color w:val="22211E"/>
          <w:sz w:val="20"/>
        </w:rPr>
        <w:t>9  Access model</w:t>
      </w:r>
    </w:p>
    <w:p>
      <w:pPr>
        <w:spacing w:after="80" w:line="252" w:lineRule="auto"/>
      </w:pPr>
      <w:r>
        <w:rPr>
          <w:rFonts w:ascii="Aptos" w:hAnsi="Aptos"/>
          <w:b w:val="0"/>
          <w:i w:val="0"/>
          <w:color w:val="22211E"/>
          <w:sz w:val="18"/>
        </w:rPr>
        <w:t>Access shall be read-only wherever technically possible. Each connection shall use a named service account or attributable user account, least privilege, multi-factor authentication where supported, credential rotation, network restrictions and automatic expiry aligned with the mandate. Credentials shall not be entered into the onboarding workbook or ordinary correspondence.</w:t>
      </w:r>
    </w:p>
    <w:p>
      <w:pPr>
        <w:keepNext/>
        <w:spacing w:before="60" w:after="40"/>
      </w:pPr>
      <w:r>
        <w:rPr>
          <w:rFonts w:ascii="Aptos" w:hAnsi="Aptos"/>
          <w:b/>
          <w:i w:val="0"/>
          <w:color w:val="22211E"/>
          <w:sz w:val="20"/>
        </w:rPr>
        <w:t>10  Collection integrity</w:t>
      </w:r>
    </w:p>
    <w:p>
      <w:pPr>
        <w:spacing w:after="80" w:line="252" w:lineRule="auto"/>
      </w:pPr>
      <w:r>
        <w:rPr>
          <w:rFonts w:ascii="Aptos" w:hAnsi="Aptos"/>
          <w:b w:val="0"/>
          <w:i w:val="0"/>
          <w:color w:val="22211E"/>
          <w:sz w:val="18"/>
        </w:rPr>
        <w:t>The Consultant shall preserve source identity, extraction time, record period, units, transformations and reconciliation status. Failed or partial extraction shall be visible as a data-confidence issue and shall not be represented as a healthy risk state. Material source changes require revalidation before results are relied upon.</w:t>
      </w:r>
    </w:p>
    <w:p>
      <w:pPr>
        <w:keepNext/>
        <w:spacing w:before="60" w:after="40"/>
      </w:pPr>
      <w:r>
        <w:rPr>
          <w:rFonts w:ascii="Aptos" w:hAnsi="Aptos"/>
          <w:b/>
          <w:i w:val="0"/>
          <w:color w:val="22211E"/>
          <w:sz w:val="20"/>
        </w:rPr>
        <w:t>11  Frequency and proportionality</w:t>
      </w:r>
    </w:p>
    <w:p>
      <w:pPr>
        <w:spacing w:after="80" w:line="252" w:lineRule="auto"/>
      </w:pPr>
      <w:r>
        <w:rPr>
          <w:rFonts w:ascii="Aptos" w:hAnsi="Aptos"/>
          <w:b w:val="0"/>
          <w:i w:val="0"/>
          <w:color w:val="22211E"/>
          <w:sz w:val="18"/>
        </w:rPr>
        <w:t>Collection frequency shall be no more frequent than required for the approved monitoring or simulation purpose. The parties shall document event-driven, intraday, daily, weekly, monthly or ad-hoc frequency in Schedule 1 and avoid collecting unchanged fields merely because the source permits it.</w:t>
      </w:r>
    </w:p>
    <w:p>
      <w:pPr>
        <w:keepNext/>
        <w:spacing w:before="60" w:after="40"/>
      </w:pPr>
      <w:r>
        <w:rPr>
          <w:rFonts w:ascii="Aptos" w:hAnsi="Aptos"/>
          <w:b/>
          <w:i w:val="0"/>
          <w:color w:val="22211E"/>
          <w:sz w:val="20"/>
        </w:rPr>
        <w:t>12  Live and simulation separation</w:t>
      </w:r>
    </w:p>
    <w:p>
      <w:pPr>
        <w:spacing w:after="80" w:line="252" w:lineRule="auto"/>
      </w:pPr>
      <w:r>
        <w:rPr>
          <w:rFonts w:ascii="Aptos" w:hAnsi="Aptos"/>
          <w:b w:val="0"/>
          <w:i w:val="0"/>
          <w:color w:val="22211E"/>
          <w:sz w:val="18"/>
        </w:rPr>
        <w:t>Live monitoring data and private simulation assumptions shall remain logically separated. A simulation may reference an approved baseline but shall not write back to a source system, alter the live enterprise state or become visible to other users unless the authorised user deliberately saves or shares it.</w:t>
      </w:r>
    </w:p>
    <w:p>
      <w:pPr>
        <w:keepNext/>
        <w:spacing w:before="60" w:after="40"/>
      </w:pPr>
      <w:r>
        <w:rPr>
          <w:rFonts w:ascii="Aptos" w:hAnsi="Aptos"/>
          <w:b/>
          <w:i w:val="0"/>
          <w:color w:val="22211E"/>
          <w:sz w:val="20"/>
        </w:rPr>
        <w:t>13  Decision support</w:t>
      </w:r>
    </w:p>
    <w:p>
      <w:pPr>
        <w:spacing w:after="80" w:line="252" w:lineRule="auto"/>
      </w:pPr>
      <w:r>
        <w:rPr>
          <w:rFonts w:ascii="Aptos" w:hAnsi="Aptos"/>
          <w:b w:val="0"/>
          <w:i w:val="0"/>
          <w:color w:val="22211E"/>
          <w:sz w:val="18"/>
        </w:rPr>
        <w:t>The system and Consultant provide analysis, explanations, precedents and response options. They do not replace the Client’s accountable decision-maker. No recommendation may be implemented automatically unless an approved change, active mandate, authorised operator, preflight checks, rollback plan and emergency-stop control are in place.</w:t>
      </w:r>
    </w:p>
    <w:p>
      <w:pPr>
        <w:keepNext/>
        <w:spacing w:before="60" w:after="40"/>
      </w:pPr>
      <w:r>
        <w:rPr>
          <w:rFonts w:ascii="Aptos" w:hAnsi="Aptos"/>
          <w:b/>
          <w:i w:val="0"/>
          <w:color w:val="22211E"/>
          <w:sz w:val="20"/>
        </w:rPr>
        <w:t>14  Evidence confidence</w:t>
      </w:r>
    </w:p>
    <w:p>
      <w:pPr>
        <w:spacing w:after="80" w:line="252" w:lineRule="auto"/>
      </w:pPr>
      <w:r>
        <w:rPr>
          <w:rFonts w:ascii="Aptos" w:hAnsi="Aptos"/>
          <w:b w:val="0"/>
          <w:i w:val="0"/>
          <w:color w:val="22211E"/>
          <w:sz w:val="18"/>
        </w:rPr>
        <w:t>Risk severity and evidence confidence shall be maintained separately. Missing, stale, contradictory or revoked evidence shall reduce confidence, trigger an information obligation or restrict use of the affected result. The Client shall provide timely corrections where source information is inaccurate or incomplete.</w:t>
      </w:r>
    </w:p>
    <w:p>
      <w:pPr>
        <w:keepNext/>
        <w:spacing w:before="60" w:after="40"/>
      </w:pPr>
      <w:r>
        <w:rPr>
          <w:rFonts w:ascii="Aptos" w:hAnsi="Aptos"/>
          <w:b/>
          <w:i w:val="0"/>
          <w:color w:val="22211E"/>
          <w:sz w:val="20"/>
        </w:rPr>
        <w:t>15  Connection suspension</w:t>
      </w:r>
    </w:p>
    <w:p>
      <w:pPr>
        <w:spacing w:after="80" w:line="252" w:lineRule="auto"/>
      </w:pPr>
      <w:r>
        <w:rPr>
          <w:rFonts w:ascii="Aptos" w:hAnsi="Aptos"/>
          <w:b w:val="0"/>
          <w:i w:val="0"/>
          <w:color w:val="22211E"/>
          <w:sz w:val="18"/>
        </w:rPr>
        <w:t>The Consultant shall suspend an affected connection when the mandate expires, access is revoked, a Security Incident creates unacceptable risk, a source owner requests suspension, applicable law prevents processing or the Client instructs suspension. Suspension shall not disable unaffected monitoring unless necessary for safety or legal compliance.</w:t>
      </w:r>
    </w:p>
    <w:p>
      <w:pPr>
        <w:pStyle w:val="Heading2"/>
        <w:keepNext/>
      </w:pPr>
      <w:r>
        <w:t>Authorised use matrix</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trPr>
        <w:tc>
          <w:tcPr>
            <w:tcW w:type="dxa" w:w="2835"/>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Activity</w:t>
            </w:r>
          </w:p>
        </w:tc>
        <w:tc>
          <w:tcPr>
            <w:tcW w:type="dxa" w:w="3402"/>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Default position</w:t>
            </w:r>
          </w:p>
        </w:tc>
        <w:tc>
          <w:tcPr>
            <w:tcW w:type="dxa" w:w="3969"/>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Approval required</w:t>
            </w:r>
          </w:p>
        </w:tc>
      </w:tr>
      <w:tr>
        <w:trPr>
          <w:cantSplit/>
        </w:trPr>
        <w:tc>
          <w:tcPr>
            <w:tcW w:type="dxa" w:w="2835"/>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Read approved source</w:t>
            </w:r>
          </w:p>
        </w:tc>
        <w:tc>
          <w:tcPr>
            <w:tcW w:type="dxa" w:w="3402"/>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Allowed within Schedule 1</w:t>
            </w:r>
          </w:p>
        </w:tc>
        <w:tc>
          <w:tcPr>
            <w:tcW w:type="dxa" w:w="3969"/>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Source owner and Enterprise Owner</w:t>
            </w:r>
          </w:p>
        </w:tc>
      </w:tr>
      <w:tr>
        <w:trPr>
          <w:cantSplit/>
        </w:trPr>
        <w:tc>
          <w:tcPr>
            <w:tcW w:type="dxa" w:w="2835"/>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Create private simulation</w:t>
            </w:r>
          </w:p>
        </w:tc>
        <w:tc>
          <w:tcPr>
            <w:tcW w:type="dxa" w:w="3402"/>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Allowed for authorised users</w:t>
            </w:r>
          </w:p>
        </w:tc>
        <w:tc>
          <w:tcPr>
            <w:tcW w:type="dxa" w:w="3969"/>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Simulation entitlement</w:t>
            </w:r>
          </w:p>
        </w:tc>
      </w:tr>
      <w:tr>
        <w:trPr>
          <w:cantSplit/>
        </w:trPr>
        <w:tc>
          <w:tcPr>
            <w:tcW w:type="dxa" w:w="2835"/>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Share simulation</w:t>
            </w:r>
          </w:p>
        </w:tc>
        <w:tc>
          <w:tcPr>
            <w:tcW w:type="dxa" w:w="3402"/>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Session-scoped viewers only</w:t>
            </w:r>
          </w:p>
        </w:tc>
        <w:tc>
          <w:tcPr>
            <w:tcW w:type="dxa" w:w="3969"/>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Simulation owner</w:t>
            </w:r>
          </w:p>
        </w:tc>
      </w:tr>
      <w:tr>
        <w:trPr>
          <w:cantSplit/>
        </w:trPr>
        <w:tc>
          <w:tcPr>
            <w:tcW w:type="dxa" w:w="2835"/>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Write to production source</w:t>
            </w:r>
          </w:p>
        </w:tc>
        <w:tc>
          <w:tcPr>
            <w:tcW w:type="dxa" w:w="3402"/>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Prohibited</w:t>
            </w:r>
          </w:p>
        </w:tc>
        <w:tc>
          <w:tcPr>
            <w:tcW w:type="dxa" w:w="3969"/>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Separate approved change and execution mandate</w:t>
            </w:r>
          </w:p>
        </w:tc>
      </w:tr>
      <w:tr>
        <w:trPr>
          <w:cantSplit/>
        </w:trPr>
        <w:tc>
          <w:tcPr>
            <w:tcW w:type="dxa" w:w="2835"/>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Reuse for general product/model</w:t>
            </w:r>
          </w:p>
        </w:tc>
        <w:tc>
          <w:tcPr>
            <w:tcW w:type="dxa" w:w="3402"/>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Prohibited</w:t>
            </w:r>
          </w:p>
        </w:tc>
        <w:tc>
          <w:tcPr>
            <w:tcW w:type="dxa" w:w="3969"/>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Separate agreement and legal basis</w:t>
            </w:r>
          </w:p>
        </w:tc>
      </w:tr>
    </w:tbl>
    <w:p>
      <w:r>
        <w:br w:type="page"/>
      </w:r>
    </w:p>
    <w:p>
      <w:pPr>
        <w:keepNext/>
        <w:spacing w:before="0" w:after="100"/>
      </w:pPr>
      <w:r>
        <w:rPr>
          <w:rFonts w:ascii="Aptos" w:hAnsi="Aptos"/>
          <w:b/>
          <w:i w:val="0"/>
          <w:color w:val="F04B16"/>
          <w:sz w:val="16"/>
        </w:rPr>
        <w:t>CORE AGREEMENT</w:t>
      </w:r>
    </w:p>
    <w:p>
      <w:pPr>
        <w:pStyle w:val="Heading1"/>
        <w:keepNext/>
      </w:pPr>
      <w:r>
        <w:t>Protection, assistance and accountability</w:t>
      </w:r>
    </w:p>
    <w:p>
      <w:pPr>
        <w:keepNext/>
        <w:spacing w:before="60" w:after="40"/>
      </w:pPr>
      <w:r>
        <w:rPr>
          <w:rFonts w:ascii="Aptos" w:hAnsi="Aptos"/>
          <w:b/>
          <w:i w:val="0"/>
          <w:color w:val="22211E"/>
          <w:sz w:val="20"/>
        </w:rPr>
        <w:t>16  Security</w:t>
      </w:r>
    </w:p>
    <w:p>
      <w:pPr>
        <w:spacing w:after="80" w:line="252" w:lineRule="auto"/>
      </w:pPr>
      <w:r>
        <w:rPr>
          <w:rFonts w:ascii="Aptos" w:hAnsi="Aptos"/>
          <w:b w:val="0"/>
          <w:i w:val="0"/>
          <w:color w:val="22211E"/>
          <w:sz w:val="18"/>
        </w:rPr>
        <w:t>Each party shall implement controls appropriate to the nature, volume, sensitivity and risk of the data. The Consultant shall meet the minimum controls in Schedule 2 and shall maintain evidence sufficient to demonstrate operation of those controls.</w:t>
      </w:r>
    </w:p>
    <w:p>
      <w:pPr>
        <w:keepNext/>
        <w:spacing w:before="60" w:after="40"/>
      </w:pPr>
      <w:r>
        <w:rPr>
          <w:rFonts w:ascii="Aptos" w:hAnsi="Aptos"/>
          <w:b/>
          <w:i w:val="0"/>
          <w:color w:val="22211E"/>
          <w:sz w:val="20"/>
        </w:rPr>
        <w:t>17  Confidentiality</w:t>
      </w:r>
    </w:p>
    <w:p>
      <w:pPr>
        <w:spacing w:after="80" w:line="252" w:lineRule="auto"/>
      </w:pPr>
      <w:r>
        <w:rPr>
          <w:rFonts w:ascii="Aptos" w:hAnsi="Aptos"/>
          <w:b w:val="0"/>
          <w:i w:val="0"/>
          <w:color w:val="22211E"/>
          <w:sz w:val="18"/>
        </w:rPr>
        <w:t>Personnel with access to Client Data shall be bound by enforceable confidentiality duties, receive role-appropriate training and access only what they need. Confidentiality obligations survive termination.</w:t>
      </w:r>
    </w:p>
    <w:p>
      <w:pPr>
        <w:keepNext/>
        <w:spacing w:before="60" w:after="40"/>
      </w:pPr>
      <w:r>
        <w:rPr>
          <w:rFonts w:ascii="Aptos" w:hAnsi="Aptos"/>
          <w:b/>
          <w:i w:val="0"/>
          <w:color w:val="22211E"/>
          <w:sz w:val="20"/>
        </w:rPr>
        <w:t>18  Sub-processors</w:t>
      </w:r>
    </w:p>
    <w:p>
      <w:pPr>
        <w:spacing w:after="80" w:line="252" w:lineRule="auto"/>
      </w:pPr>
      <w:r>
        <w:rPr>
          <w:rFonts w:ascii="Aptos" w:hAnsi="Aptos"/>
          <w:b w:val="0"/>
          <w:i w:val="0"/>
          <w:color w:val="22211E"/>
          <w:sz w:val="18"/>
        </w:rPr>
        <w:t>The Consultant shall use only approved sub-processors listed in Schedule 2, impose equivalent data-protection obligations and remain responsible for their performance to the extent required by applicable law and contract. New or replacement sub-processors require the agreed prior specific or general written authorisation and objection process.</w:t>
      </w:r>
    </w:p>
    <w:p>
      <w:pPr>
        <w:keepNext/>
        <w:spacing w:before="60" w:after="40"/>
      </w:pPr>
      <w:r>
        <w:rPr>
          <w:rFonts w:ascii="Aptos" w:hAnsi="Aptos"/>
          <w:b/>
          <w:i w:val="0"/>
          <w:color w:val="22211E"/>
          <w:sz w:val="20"/>
        </w:rPr>
        <w:t>19  Cross-border access and transfers</w:t>
      </w:r>
    </w:p>
    <w:p>
      <w:pPr>
        <w:spacing w:after="80" w:line="252" w:lineRule="auto"/>
      </w:pPr>
      <w:r>
        <w:rPr>
          <w:rFonts w:ascii="Aptos" w:hAnsi="Aptos"/>
          <w:b w:val="0"/>
          <w:i w:val="0"/>
          <w:color w:val="22211E"/>
          <w:sz w:val="18"/>
        </w:rPr>
        <w:t>Remote access, hosting, support and backup outside the originating jurisdiction shall be treated as a transfer where applicable law so provides. The parties shall identify locations and approved mechanisms in Schedule 3 before the transfer. Required standard contractual clauses, transfer assessments, supplementary measures, localisation or government-notification duties shall be completed before access begins.</w:t>
      </w:r>
    </w:p>
    <w:p>
      <w:pPr>
        <w:keepNext/>
        <w:spacing w:before="60" w:after="40"/>
      </w:pPr>
      <w:r>
        <w:rPr>
          <w:rFonts w:ascii="Aptos" w:hAnsi="Aptos"/>
          <w:b/>
          <w:i w:val="0"/>
          <w:color w:val="22211E"/>
          <w:sz w:val="20"/>
        </w:rPr>
        <w:t>20  Individual rights and complaints</w:t>
      </w:r>
    </w:p>
    <w:p>
      <w:pPr>
        <w:spacing w:after="80" w:line="252" w:lineRule="auto"/>
      </w:pPr>
      <w:r>
        <w:rPr>
          <w:rFonts w:ascii="Aptos" w:hAnsi="Aptos"/>
          <w:b w:val="0"/>
          <w:i w:val="0"/>
          <w:color w:val="22211E"/>
          <w:sz w:val="18"/>
        </w:rPr>
        <w:t>The Consultant shall promptly forward a request or complaint received from an individual and shall not respond except on Client instructions or where legally required. The Consultant shall assist with access, correction, erasure, restriction, objection, portability, withdrawal and other applicable rights using the response route and time limits in Schedule 4.</w:t>
      </w:r>
    </w:p>
    <w:p>
      <w:pPr>
        <w:keepNext/>
        <w:spacing w:before="60" w:after="40"/>
      </w:pPr>
      <w:r>
        <w:rPr>
          <w:rFonts w:ascii="Aptos" w:hAnsi="Aptos"/>
          <w:b/>
          <w:i w:val="0"/>
          <w:color w:val="22211E"/>
          <w:sz w:val="20"/>
        </w:rPr>
        <w:t>21  Security Incidents</w:t>
      </w:r>
    </w:p>
    <w:p>
      <w:pPr>
        <w:spacing w:after="80" w:line="252" w:lineRule="auto"/>
      </w:pPr>
      <w:r>
        <w:rPr>
          <w:rFonts w:ascii="Aptos" w:hAnsi="Aptos"/>
          <w:b w:val="0"/>
          <w:i w:val="0"/>
          <w:color w:val="22211E"/>
          <w:sz w:val="18"/>
        </w:rPr>
        <w:t>The Consultant shall notify the Client without undue delay and within the contractual period in Schedule 4 after becoming aware of a Security Incident. The notice shall include known facts, affected data and individuals, likely consequences, containment, recovery and evidence preservation. The Consultant shall provide updates and shall not notify an authority or individual on the Client’s behalf without instruction unless legally required.</w:t>
      </w:r>
    </w:p>
    <w:p>
      <w:pPr>
        <w:keepNext/>
        <w:spacing w:before="60" w:after="40"/>
      </w:pPr>
      <w:r>
        <w:rPr>
          <w:rFonts w:ascii="Aptos" w:hAnsi="Aptos"/>
          <w:b/>
          <w:i w:val="0"/>
          <w:color w:val="22211E"/>
          <w:sz w:val="20"/>
        </w:rPr>
        <w:t>22  Impact assessment and regulator assistance</w:t>
      </w:r>
    </w:p>
    <w:p>
      <w:pPr>
        <w:spacing w:after="80" w:line="252" w:lineRule="auto"/>
      </w:pPr>
      <w:r>
        <w:rPr>
          <w:rFonts w:ascii="Aptos" w:hAnsi="Aptos"/>
          <w:b w:val="0"/>
          <w:i w:val="0"/>
          <w:color w:val="22211E"/>
          <w:sz w:val="18"/>
        </w:rPr>
        <w:t>The Consultant shall provide information reasonably required for privacy, data-protection, algorithmic, cybersecurity, outsourcing, operational-resilience or regulatory impact assessments. It shall support prior consultation, inquiries and audits relating to the services, subject to proportionate confidentiality and security controls.</w:t>
      </w:r>
    </w:p>
    <w:p>
      <w:pPr>
        <w:keepNext/>
        <w:spacing w:before="60" w:after="40"/>
      </w:pPr>
      <w:r>
        <w:rPr>
          <w:rFonts w:ascii="Aptos" w:hAnsi="Aptos"/>
          <w:b/>
          <w:i w:val="0"/>
          <w:color w:val="22211E"/>
          <w:sz w:val="20"/>
        </w:rPr>
        <w:t>23  Retention and deletion</w:t>
      </w:r>
    </w:p>
    <w:p>
      <w:pPr>
        <w:spacing w:after="80" w:line="252" w:lineRule="auto"/>
      </w:pPr>
      <w:r>
        <w:rPr>
          <w:rFonts w:ascii="Aptos" w:hAnsi="Aptos"/>
          <w:b w:val="0"/>
          <w:i w:val="0"/>
          <w:color w:val="22211E"/>
          <w:sz w:val="18"/>
        </w:rPr>
        <w:t>Client Data shall be retained only for the approved purpose and period. At termination or Client instruction, the Consultant shall return or securely delete Client Data and certify completion, except where law requires retention. Retained data shall be isolated, access-restricted and deleted when the legal requirement ends. Backup deletion may follow the documented cycle in Schedule 2.</w:t>
      </w:r>
    </w:p>
    <w:p>
      <w:pPr>
        <w:keepNext/>
        <w:spacing w:before="60" w:after="40"/>
      </w:pPr>
      <w:r>
        <w:rPr>
          <w:rFonts w:ascii="Aptos" w:hAnsi="Aptos"/>
          <w:b/>
          <w:i w:val="0"/>
          <w:color w:val="22211E"/>
          <w:sz w:val="20"/>
        </w:rPr>
        <w:t>24  Audit and records</w:t>
      </w:r>
    </w:p>
    <w:p>
      <w:pPr>
        <w:spacing w:after="80" w:line="252" w:lineRule="auto"/>
      </w:pPr>
      <w:r>
        <w:rPr>
          <w:rFonts w:ascii="Aptos" w:hAnsi="Aptos"/>
          <w:b w:val="0"/>
          <w:i w:val="0"/>
          <w:color w:val="22211E"/>
          <w:sz w:val="18"/>
        </w:rPr>
        <w:t>The Consultant shall maintain an auditable record of sources, access, transformations, model/configuration versions, recommendations, approvals, actions and deletion. It shall provide compliance information and permit proportionate audits under Schedule 4. Audit rights do not authorise access to another client’s data or compromise platform security.</w:t>
      </w:r>
    </w:p>
    <w:p>
      <w:pPr>
        <w:keepNext/>
        <w:spacing w:before="60" w:after="40"/>
      </w:pPr>
      <w:r>
        <w:rPr>
          <w:rFonts w:ascii="Aptos" w:hAnsi="Aptos"/>
          <w:b/>
          <w:i w:val="0"/>
          <w:color w:val="22211E"/>
          <w:sz w:val="20"/>
        </w:rPr>
        <w:t>25  Change, term and termination</w:t>
      </w:r>
    </w:p>
    <w:p>
      <w:pPr>
        <w:spacing w:after="80" w:line="252" w:lineRule="auto"/>
      </w:pPr>
      <w:r>
        <w:rPr>
          <w:rFonts w:ascii="Aptos" w:hAnsi="Aptos"/>
          <w:b w:val="0"/>
          <w:i w:val="0"/>
          <w:color w:val="22211E"/>
          <w:sz w:val="18"/>
        </w:rPr>
        <w:t>A material change to purpose, fields, source, frequency, location, recipient, model use or retention requires a revised schedule and approval before implementation. On termination, connections shall be disabled, credentials revoked and return/deletion completed. Clauses intended by their nature to survive shall remain effective.</w:t>
      </w:r>
    </w:p>
    <w:p>
      <w:r>
        <w:br w:type="page"/>
      </w:r>
    </w:p>
    <w:p>
      <w:pPr>
        <w:keepNext/>
        <w:spacing w:before="0" w:after="100"/>
      </w:pPr>
      <w:r>
        <w:rPr>
          <w:rFonts w:ascii="Aptos" w:hAnsi="Aptos"/>
          <w:b/>
          <w:i w:val="0"/>
          <w:color w:val="F04B16"/>
          <w:sz w:val="16"/>
        </w:rPr>
        <w:t>SCHEDULE 1</w:t>
      </w:r>
    </w:p>
    <w:p>
      <w:pPr>
        <w:pStyle w:val="Heading1"/>
        <w:keepNext/>
      </w:pPr>
      <w:r>
        <w:t>Processing instructions and source approval register</w:t>
      </w:r>
    </w:p>
    <w:p>
      <w:pPr>
        <w:spacing w:after="140" w:line="252" w:lineRule="auto"/>
      </w:pPr>
      <w:r>
        <w:rPr>
          <w:rFonts w:ascii="Aptos" w:hAnsi="Aptos"/>
          <w:b w:val="0"/>
          <w:i w:val="0"/>
          <w:color w:val="22211E"/>
          <w:sz w:val="18"/>
        </w:rPr>
        <w:t>Complete one row for every online source. Attach the corresponding rows from the Enterprise Onboarding Workbook. Collection may begin only when the approval field is signed or recorded through the governed change workflow.</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55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Processing item</w:t>
            </w:r>
          </w:p>
        </w:tc>
        <w:tc>
          <w:tcPr>
            <w:tcW w:type="dxa" w:w="765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Client instruction</w:t>
            </w:r>
          </w:p>
        </w:tc>
      </w:tr>
      <w:tr>
        <w:trPr>
          <w:cantSplit/>
        </w:trPr>
        <w:tc>
          <w:tcPr>
            <w:tcW w:type="dxa" w:w="255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Subject matter</w:t>
            </w:r>
          </w:p>
        </w:tc>
        <w:tc>
          <w:tcPr>
            <w:tcW w:type="dxa" w:w="765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Enterprise financial resilience monitoring, controlled simulation, expert assessment and approved implementation support.</w:t>
            </w:r>
          </w:p>
        </w:tc>
      </w:tr>
      <w:tr>
        <w:trPr>
          <w:cantSplit/>
        </w:trPr>
        <w:tc>
          <w:tcPr>
            <w:tcW w:type="dxa" w:w="255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Purpose</w:t>
            </w:r>
          </w:p>
        </w:tc>
        <w:tc>
          <w:tcPr>
            <w:tcW w:type="dxa" w:w="765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[Specify the business and risk-management purpose. Generic descriptions are insufficient.]</w:t>
            </w:r>
          </w:p>
        </w:tc>
      </w:tr>
      <w:tr>
        <w:trPr>
          <w:cantSplit/>
        </w:trPr>
        <w:tc>
          <w:tcPr>
            <w:tcW w:type="dxa" w:w="255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Duration</w:t>
            </w:r>
          </w:p>
        </w:tc>
        <w:tc>
          <w:tcPr>
            <w:tcW w:type="dxa" w:w="765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[Term, source-specific period and post-termination handling.]</w:t>
            </w:r>
          </w:p>
        </w:tc>
      </w:tr>
      <w:tr>
        <w:trPr>
          <w:cantSplit/>
        </w:trPr>
        <w:tc>
          <w:tcPr>
            <w:tcW w:type="dxa" w:w="255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Individuals</w:t>
            </w:r>
          </w:p>
        </w:tc>
        <w:tc>
          <w:tcPr>
            <w:tcW w:type="dxa" w:w="765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[Employees, directors, customers, merchants, counterparties, suppliers or other groups.]</w:t>
            </w:r>
          </w:p>
        </w:tc>
      </w:tr>
      <w:tr>
        <w:trPr>
          <w:cantSplit/>
        </w:trPr>
        <w:tc>
          <w:tcPr>
            <w:tcW w:type="dxa" w:w="255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Data categories</w:t>
            </w:r>
          </w:p>
        </w:tc>
        <w:tc>
          <w:tcPr>
            <w:tcW w:type="dxa" w:w="765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[Financial, transactional, identity, contact, device, employment, merchant, incident or other fields.]</w:t>
            </w:r>
          </w:p>
        </w:tc>
      </w:tr>
      <w:tr>
        <w:trPr>
          <w:cantSplit/>
        </w:trPr>
        <w:tc>
          <w:tcPr>
            <w:tcW w:type="dxa" w:w="255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Sensitive data</w:t>
            </w:r>
          </w:p>
        </w:tc>
        <w:tc>
          <w:tcPr>
            <w:tcW w:type="dxa" w:w="765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[None by default. Specify category, necessity and enhanced controls if approved.]</w:t>
            </w:r>
          </w:p>
        </w:tc>
      </w:tr>
      <w:tr>
        <w:trPr>
          <w:cantSplit/>
        </w:trPr>
        <w:tc>
          <w:tcPr>
            <w:tcW w:type="dxa" w:w="255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Processing operations</w:t>
            </w:r>
          </w:p>
        </w:tc>
        <w:tc>
          <w:tcPr>
            <w:tcW w:type="dxa" w:w="765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Collection, validation, reconciliation, storage, analysis, simulation, reporting, return and deletion, as selected.</w:t>
            </w:r>
          </w:p>
        </w:tc>
      </w:tr>
      <w:tr>
        <w:trPr>
          <w:cantSplit/>
        </w:trPr>
        <w:tc>
          <w:tcPr>
            <w:tcW w:type="dxa" w:w="255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Expected outputs</w:t>
            </w:r>
          </w:p>
        </w:tc>
        <w:tc>
          <w:tcPr>
            <w:tcW w:type="dxa" w:w="765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Risk state, evidence confidence, scenario results, explanations, recommendations, decisions and verified outcomes.</w:t>
            </w:r>
          </w:p>
        </w:tc>
      </w:tr>
    </w:tbl>
    <w:p>
      <w:pPr>
        <w:pStyle w:val="Heading2"/>
        <w:keepNext/>
      </w:pPr>
      <w:r>
        <w:t>Source approval register</w:t>
      </w:r>
    </w:p>
    <w:tbl>
      <w:tblPr>
        <w:tblStyle w:val="TableGrid"/>
        <w:tblW w:type="auto" w:w="0"/>
        <w:jc w:val="center"/>
        <w:tblLayout w:type="fixed"/>
        <w:tblLook w:firstColumn="1" w:firstRow="1" w:lastColumn="0" w:lastRow="0" w:noHBand="0" w:noVBand="1" w:val="04A0"/>
      </w:tblPr>
      <w:tblGrid>
        <w:gridCol w:w="1268"/>
        <w:gridCol w:w="1268"/>
        <w:gridCol w:w="1268"/>
        <w:gridCol w:w="1268"/>
        <w:gridCol w:w="1268"/>
        <w:gridCol w:w="1268"/>
        <w:gridCol w:w="1268"/>
        <w:gridCol w:w="1268"/>
      </w:tblGrid>
      <w:tr>
        <w:trPr>
          <w:tblHeader w:val="true"/>
        </w:trPr>
        <w:tc>
          <w:tcPr>
            <w:tcW w:type="dxa" w:w="79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ID</w:t>
            </w:r>
          </w:p>
        </w:tc>
        <w:tc>
          <w:tcPr>
            <w:tcW w:type="dxa" w:w="158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Source / owner</w:t>
            </w:r>
          </w:p>
        </w:tc>
        <w:tc>
          <w:tcPr>
            <w:tcW w:type="dxa" w:w="158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Fields &amp; subjects</w:t>
            </w:r>
          </w:p>
        </w:tc>
        <w:tc>
          <w:tcPr>
            <w:tcW w:type="dxa" w:w="158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Purpose &amp; frequency</w:t>
            </w:r>
          </w:p>
        </w:tc>
        <w:tc>
          <w:tcPr>
            <w:tcW w:type="dxa" w:w="136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Method / access</w:t>
            </w:r>
          </w:p>
        </w:tc>
        <w:tc>
          <w:tcPr>
            <w:tcW w:type="dxa" w:w="158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Locations &amp; transfer</w:t>
            </w:r>
          </w:p>
        </w:tc>
        <w:tc>
          <w:tcPr>
            <w:tcW w:type="dxa" w:w="96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Retention</w:t>
            </w:r>
          </w:p>
        </w:tc>
        <w:tc>
          <w:tcPr>
            <w:tcW w:type="dxa" w:w="130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Approval</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SRC-01</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[System and owner]</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[Fields / groups]</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 / frequency]</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[API/SFTP/etc.]</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host / support]</w:t>
            </w:r>
          </w:p>
        </w:tc>
        <w:tc>
          <w:tcPr>
            <w:tcW w:type="dxa" w:w="96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[Period]</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[Name/date/status]</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SRC-02</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[System and owner]</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[Fields / groups]</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 / frequency]</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[API/SFTP/etc.]</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host / support]</w:t>
            </w:r>
          </w:p>
        </w:tc>
        <w:tc>
          <w:tcPr>
            <w:tcW w:type="dxa" w:w="96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[Period]</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[Name/date/status]</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SRC-03</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[System and owner]</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[Fields / groups]</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 / frequency]</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[API/SFTP/etc.]</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host / support]</w:t>
            </w:r>
          </w:p>
        </w:tc>
        <w:tc>
          <w:tcPr>
            <w:tcW w:type="dxa" w:w="96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[Period]</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[Name/date/status]</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SRC-04</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[System and owner]</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[Fields / groups]</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 / frequency]</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[API/SFTP/etc.]</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host / support]</w:t>
            </w:r>
          </w:p>
        </w:tc>
        <w:tc>
          <w:tcPr>
            <w:tcW w:type="dxa" w:w="96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[Period]</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[Name/date/status]</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SRC-05</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[System and owner]</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[Fields / groups]</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 / frequency]</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[API/SFTP/etc.]</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host / support]</w:t>
            </w:r>
          </w:p>
        </w:tc>
        <w:tc>
          <w:tcPr>
            <w:tcW w:type="dxa" w:w="96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[Period]</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[Name/date/status]</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SRC-06</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[System and owner]</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[Fields / groups]</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 / frequency]</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[API/SFTP/etc.]</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host / support]</w:t>
            </w:r>
          </w:p>
        </w:tc>
        <w:tc>
          <w:tcPr>
            <w:tcW w:type="dxa" w:w="96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[Period]</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[Name/date/status]</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SRC-07</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[System and owner]</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[Fields / groups]</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 / frequency]</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[API/SFTP/etc.]</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host / support]</w:t>
            </w:r>
          </w:p>
        </w:tc>
        <w:tc>
          <w:tcPr>
            <w:tcW w:type="dxa" w:w="96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[Period]</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[Name/date/status]</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SRC-08</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[System and owner]</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[Fields / groups]</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 / frequency]</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[API/SFTP/etc.]</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host / support]</w:t>
            </w:r>
          </w:p>
        </w:tc>
        <w:tc>
          <w:tcPr>
            <w:tcW w:type="dxa" w:w="96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[Period]</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[Name/date/status]</w:t>
            </w:r>
          </w:p>
        </w:tc>
      </w:tr>
    </w:tbl>
    <w:p>
      <w:pPr>
        <w:pStyle w:val="Heading2"/>
        <w:keepNext/>
      </w:pPr>
      <w:r>
        <w:t>Source-specific preconditions</w:t>
      </w:r>
    </w:p>
    <w:p>
      <w:pPr>
        <w:pStyle w:val="ListBullet"/>
        <w:spacing w:after="40" w:line="245" w:lineRule="auto"/>
        <w:ind w:left="312" w:hanging="159"/>
      </w:pPr>
      <w:r>
        <w:rPr>
          <w:rFonts w:ascii="Aptos" w:hAnsi="Aptos"/>
          <w:b w:val="0"/>
          <w:i w:val="0"/>
          <w:color w:val="22211E"/>
          <w:sz w:val="16"/>
        </w:rPr>
        <w:t>The factor ID from the Enterprise Onboarding Workbook is recorded for every field or dataset.</w:t>
      </w:r>
    </w:p>
    <w:p>
      <w:pPr>
        <w:pStyle w:val="ListBullet"/>
        <w:spacing w:after="40" w:line="245" w:lineRule="auto"/>
        <w:ind w:left="312" w:hanging="159"/>
      </w:pPr>
      <w:r>
        <w:rPr>
          <w:rFonts w:ascii="Aptos" w:hAnsi="Aptos"/>
          <w:b w:val="0"/>
          <w:i w:val="0"/>
          <w:color w:val="22211E"/>
          <w:sz w:val="16"/>
        </w:rPr>
        <w:t>The Client confirms authority to provide access and identifies the lawful basis or other permitted ground where Personal Data is involved.</w:t>
      </w:r>
    </w:p>
    <w:p>
      <w:pPr>
        <w:pStyle w:val="ListBullet"/>
        <w:spacing w:after="40" w:line="245" w:lineRule="auto"/>
        <w:ind w:left="312" w:hanging="159"/>
      </w:pPr>
      <w:r>
        <w:rPr>
          <w:rFonts w:ascii="Aptos" w:hAnsi="Aptos"/>
          <w:b w:val="0"/>
          <w:i w:val="0"/>
          <w:color w:val="22211E"/>
          <w:sz w:val="16"/>
        </w:rPr>
        <w:t>The source owner confirms that read-only access, field selection, frequency and retention are proportionate.</w:t>
      </w:r>
    </w:p>
    <w:p>
      <w:pPr>
        <w:pStyle w:val="ListBullet"/>
        <w:spacing w:after="40" w:line="245" w:lineRule="auto"/>
        <w:ind w:left="312" w:hanging="159"/>
      </w:pPr>
      <w:r>
        <w:rPr>
          <w:rFonts w:ascii="Aptos" w:hAnsi="Aptos"/>
          <w:b w:val="0"/>
          <w:i w:val="0"/>
          <w:color w:val="22211E"/>
          <w:sz w:val="16"/>
        </w:rPr>
        <w:t>The Privacy Lead confirms notices, consent where required, sensitive-data restrictions and transfer mechanism.</w:t>
      </w:r>
    </w:p>
    <w:p>
      <w:pPr>
        <w:pStyle w:val="ListBullet"/>
        <w:spacing w:after="40" w:line="245" w:lineRule="auto"/>
        <w:ind w:left="312" w:hanging="159"/>
      </w:pPr>
      <w:r>
        <w:rPr>
          <w:rFonts w:ascii="Aptos" w:hAnsi="Aptos"/>
          <w:b w:val="0"/>
          <w:i w:val="0"/>
          <w:color w:val="22211E"/>
          <w:sz w:val="16"/>
        </w:rPr>
        <w:t>The Security Lead confirms credentials, network restrictions, encryption, logging and revocation testing.</w:t>
      </w:r>
    </w:p>
    <w:p>
      <w:r>
        <w:br w:type="page"/>
      </w:r>
    </w:p>
    <w:p>
      <w:pPr>
        <w:keepNext/>
        <w:spacing w:before="0" w:after="100"/>
      </w:pPr>
      <w:r>
        <w:rPr>
          <w:rFonts w:ascii="Aptos" w:hAnsi="Aptos"/>
          <w:b/>
          <w:i w:val="0"/>
          <w:color w:val="F04B16"/>
          <w:sz w:val="16"/>
        </w:rPr>
        <w:t>SCHEDULE 2</w:t>
      </w:r>
    </w:p>
    <w:p>
      <w:pPr>
        <w:pStyle w:val="Heading1"/>
        <w:keepNext/>
      </w:pPr>
      <w:r>
        <w:t>Security, access and sub-processor controls</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438"/>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Control domain</w:t>
            </w:r>
          </w:p>
        </w:tc>
        <w:tc>
          <w:tcPr>
            <w:tcW w:type="dxa" w:w="776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Minimum contractual control</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Governance</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Named security owner; policies reviewed at least annually; risk assessment for the service; personnel confidentiality and training.</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Identity and access</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Unique identities; least privilege; multi-factor authentication for privileged and remote access; joiner/mover/leaver process; quarterly access review.</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Credentials</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Secrets stored in an approved vault; no credentials in spreadsheets, tickets or ordinary email; rotation on schedule and on suspected compromise.</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Network and endpoints</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Restricted administration paths; allowlisting where feasible; secure configuration; supported software; endpoint protection and device encryption.</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Encryption</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Encryption in transit using current secure protocols and at rest using an approved strong standard; managed keys with restricted access and rotation.</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Environment separation</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Production, test and simulation separated; production data excluded from development unless specifically approved and protected.</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Logging and monitoring</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Source access, administrative activity, exports, transformations and deletion logged; time synchronised; alerts investigated; logs protected from alteration.</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Secure development</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Change review, dependency management, code review, vulnerability scanning and controlled deployment for components processing Client Data.</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Vulnerability management</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Risk-based remediation targets; timely security patching; independent testing proportionate to risk; material findings disclosed to the Client.</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Resilience</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Documented backup, recovery and continuity arrangements; recovery tests; dependency and capacity monitoring; emergency access controlled and reviewed.</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Incident response</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24/7 reporting route for material incidents; containment, evidence preservation, root-cause analysis and corrective-action tracking.</w:t>
            </w:r>
          </w:p>
        </w:tc>
      </w:tr>
      <w:tr>
        <w:trPr>
          <w:cantSplit/>
        </w:trPr>
        <w:tc>
          <w:tcPr>
            <w:tcW w:type="dxa" w:w="2438"/>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Deletion</w:t>
            </w:r>
          </w:p>
        </w:tc>
        <w:tc>
          <w:tcPr>
            <w:tcW w:type="dxa" w:w="7767"/>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Cryptographic or secure deletion from active systems; backup expiry through the documented cycle; deletion evidence retained without retaining deleted content.</w:t>
            </w:r>
          </w:p>
        </w:tc>
      </w:tr>
    </w:tbl>
    <w:p>
      <w:pPr>
        <w:pStyle w:val="Heading2"/>
        <w:keepNext/>
      </w:pPr>
      <w:r>
        <w:t>Approved sub-processors and support locations</w:t>
      </w:r>
    </w:p>
    <w:tbl>
      <w:tblPr>
        <w:tblStyle w:val="TableGrid"/>
        <w:tblW w:type="auto" w:w="0"/>
        <w:jc w:val="center"/>
        <w:tblLayout w:type="fixed"/>
        <w:tblLook w:firstColumn="1" w:firstRow="1" w:lastColumn="0" w:lastRow="0" w:noHBand="0" w:noVBand="1" w:val="04A0"/>
      </w:tblPr>
      <w:tblGrid>
        <w:gridCol w:w="1691"/>
        <w:gridCol w:w="1691"/>
        <w:gridCol w:w="1691"/>
        <w:gridCol w:w="1691"/>
        <w:gridCol w:w="1691"/>
        <w:gridCol w:w="1691"/>
      </w:tblGrid>
      <w:tr>
        <w:trPr>
          <w:tblHeader w:val="true"/>
        </w:trPr>
        <w:tc>
          <w:tcPr>
            <w:tcW w:type="dxa" w:w="850"/>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ID</w:t>
            </w:r>
          </w:p>
        </w:tc>
        <w:tc>
          <w:tcPr>
            <w:tcW w:type="dxa" w:w="204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Sub-processor</w:t>
            </w:r>
          </w:p>
        </w:tc>
        <w:tc>
          <w:tcPr>
            <w:tcW w:type="dxa" w:w="204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Purpose</w:t>
            </w:r>
          </w:p>
        </w:tc>
        <w:tc>
          <w:tcPr>
            <w:tcW w:type="dxa" w:w="181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Locations</w:t>
            </w:r>
          </w:p>
        </w:tc>
        <w:tc>
          <w:tcPr>
            <w:tcW w:type="dxa" w:w="187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Mechanism</w:t>
            </w:r>
          </w:p>
        </w:tc>
        <w:tc>
          <w:tcPr>
            <w:tcW w:type="dxa" w:w="158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Approval</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SUB-01</w:t>
            </w:r>
          </w:p>
        </w:tc>
        <w:tc>
          <w:tcPr>
            <w:tcW w:type="dxa" w:w="204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[Legal name / service]</w:t>
            </w:r>
          </w:p>
        </w:tc>
        <w:tc>
          <w:tcPr>
            <w:tcW w:type="dxa" w:w="204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[Processing / data]</w:t>
            </w:r>
          </w:p>
        </w:tc>
        <w:tc>
          <w:tcPr>
            <w:tcW w:type="dxa" w:w="1814"/>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[Country and data centre]</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[Transfer mechanism]</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[Approval date]</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SUB-02</w:t>
            </w:r>
          </w:p>
        </w:tc>
        <w:tc>
          <w:tcPr>
            <w:tcW w:type="dxa" w:w="204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[Legal name / service]</w:t>
            </w:r>
          </w:p>
        </w:tc>
        <w:tc>
          <w:tcPr>
            <w:tcW w:type="dxa" w:w="204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[Processing / data]</w:t>
            </w:r>
          </w:p>
        </w:tc>
        <w:tc>
          <w:tcPr>
            <w:tcW w:type="dxa" w:w="1814"/>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[Country and data centre]</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[Transfer mechanism]</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[Approval date]</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SUB-03</w:t>
            </w:r>
          </w:p>
        </w:tc>
        <w:tc>
          <w:tcPr>
            <w:tcW w:type="dxa" w:w="204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[Legal name / service]</w:t>
            </w:r>
          </w:p>
        </w:tc>
        <w:tc>
          <w:tcPr>
            <w:tcW w:type="dxa" w:w="204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[Processing / data]</w:t>
            </w:r>
          </w:p>
        </w:tc>
        <w:tc>
          <w:tcPr>
            <w:tcW w:type="dxa" w:w="1814"/>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[Country and data centre]</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[Transfer mechanism]</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[Approval date]</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SUB-04</w:t>
            </w:r>
          </w:p>
        </w:tc>
        <w:tc>
          <w:tcPr>
            <w:tcW w:type="dxa" w:w="204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[Legal name / service]</w:t>
            </w:r>
          </w:p>
        </w:tc>
        <w:tc>
          <w:tcPr>
            <w:tcW w:type="dxa" w:w="204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[Processing / data]</w:t>
            </w:r>
          </w:p>
        </w:tc>
        <w:tc>
          <w:tcPr>
            <w:tcW w:type="dxa" w:w="1814"/>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[Country and data centre]</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[Transfer mechanism]</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[Approval date]</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SUB-05</w:t>
            </w:r>
          </w:p>
        </w:tc>
        <w:tc>
          <w:tcPr>
            <w:tcW w:type="dxa" w:w="204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[Legal name / service]</w:t>
            </w:r>
          </w:p>
        </w:tc>
        <w:tc>
          <w:tcPr>
            <w:tcW w:type="dxa" w:w="204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[Processing / data]</w:t>
            </w:r>
          </w:p>
        </w:tc>
        <w:tc>
          <w:tcPr>
            <w:tcW w:type="dxa" w:w="1814"/>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[Country and data centre]</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[Transfer mechanism]</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[Approval date]</w:t>
            </w:r>
          </w:p>
        </w:tc>
      </w:tr>
    </w:tbl>
    <w:p>
      <w:pPr>
        <w:pStyle w:val="Heading2"/>
        <w:keepNext/>
      </w:pPr>
      <w:r>
        <w:t>Security exceptions</w:t>
      </w:r>
    </w:p>
    <w:p>
      <w:pPr>
        <w:spacing w:after="60" w:line="252" w:lineRule="auto"/>
      </w:pPr>
      <w:r>
        <w:rPr>
          <w:rFonts w:ascii="Aptos" w:hAnsi="Aptos"/>
          <w:b w:val="0"/>
          <w:i w:val="0"/>
          <w:color w:val="22211E"/>
          <w:sz w:val="18"/>
        </w:rPr>
        <w:t>Any exception must identify the unmet control, risk, compensating measure, owner, expiry and approval. An exception does not authorise collection where the residual risk exceeds the Client’s approved tolerance.</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trPr>
        <w:tc>
          <w:tcPr>
            <w:tcW w:type="dxa" w:w="181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Exception</w:t>
            </w:r>
          </w:p>
        </w:tc>
        <w:tc>
          <w:tcPr>
            <w:tcW w:type="dxa" w:w="3969"/>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Risk and compensating control</w:t>
            </w:r>
          </w:p>
        </w:tc>
        <w:tc>
          <w:tcPr>
            <w:tcW w:type="dxa" w:w="158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Owner</w:t>
            </w:r>
          </w:p>
        </w:tc>
        <w:tc>
          <w:tcPr>
            <w:tcW w:type="dxa" w:w="130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Expiry</w:t>
            </w:r>
          </w:p>
        </w:tc>
        <w:tc>
          <w:tcPr>
            <w:tcW w:type="dxa" w:w="153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Approval</w:t>
            </w:r>
          </w:p>
        </w:tc>
      </w:tr>
      <w:tr>
        <w:trPr>
          <w:cantSplit/>
        </w:trPr>
        <w:tc>
          <w:tcPr>
            <w:tcW w:type="dxa" w:w="181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[ID / control]</w:t>
            </w:r>
          </w:p>
        </w:tc>
        <w:tc>
          <w:tcPr>
            <w:tcW w:type="dxa" w:w="3969"/>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[Risk / measure]</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[Name]</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[Date]</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[Name/date]</w:t>
            </w:r>
          </w:p>
        </w:tc>
      </w:tr>
      <w:tr>
        <w:trPr>
          <w:cantSplit/>
        </w:trPr>
        <w:tc>
          <w:tcPr>
            <w:tcW w:type="dxa" w:w="181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[ID / control]</w:t>
            </w:r>
          </w:p>
        </w:tc>
        <w:tc>
          <w:tcPr>
            <w:tcW w:type="dxa" w:w="3969"/>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[Risk / measure]</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[Name]</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[Date]</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[Name/date]</w:t>
            </w:r>
          </w:p>
        </w:tc>
      </w:tr>
      <w:tr>
        <w:trPr>
          <w:cantSplit/>
        </w:trPr>
        <w:tc>
          <w:tcPr>
            <w:tcW w:type="dxa" w:w="181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[ID / control]</w:t>
            </w:r>
          </w:p>
        </w:tc>
        <w:tc>
          <w:tcPr>
            <w:tcW w:type="dxa" w:w="3969"/>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[Risk / measure]</w:t>
            </w:r>
          </w:p>
        </w:tc>
        <w:tc>
          <w:tcPr>
            <w:tcW w:type="dxa" w:w="1587"/>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[Name]</w:t>
            </w:r>
          </w:p>
        </w:tc>
        <w:tc>
          <w:tcPr>
            <w:tcW w:type="dxa" w:w="1304"/>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[Date]</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[Name/date]</w:t>
            </w:r>
          </w:p>
        </w:tc>
      </w:tr>
    </w:tbl>
    <w:p>
      <w:r>
        <w:br w:type="page"/>
      </w:r>
    </w:p>
    <w:p>
      <w:pPr>
        <w:keepNext/>
        <w:spacing w:before="0" w:after="100"/>
      </w:pPr>
      <w:r>
        <w:rPr>
          <w:rFonts w:ascii="Aptos" w:hAnsi="Aptos"/>
          <w:b/>
          <w:i w:val="0"/>
          <w:color w:val="F04B16"/>
          <w:sz w:val="16"/>
        </w:rPr>
        <w:t>SCHEDULE 3</w:t>
      </w:r>
    </w:p>
    <w:p>
      <w:pPr>
        <w:pStyle w:val="Heading1"/>
        <w:keepNext/>
      </w:pPr>
      <w:r>
        <w:t>Jurisdiction and transfer selector</w:t>
      </w:r>
    </w:p>
    <w:p>
      <w:pPr>
        <w:spacing w:after="120" w:line="252" w:lineRule="auto"/>
      </w:pPr>
      <w:r>
        <w:rPr>
          <w:rFonts w:ascii="Aptos" w:hAnsi="Aptos"/>
          <w:b w:val="0"/>
          <w:i w:val="0"/>
          <w:color w:val="22211E"/>
          <w:sz w:val="18"/>
        </w:rPr>
        <w:t>Select every jurisdiction connected to the individuals, Client entity, source system, hosting, support or recipient. Record the party roles and complete the required local mechanism before processing. This schedule is a configuration tool; local counsel must confirm the final selection and any sector-specific rule.</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trPr>
        <w:tc>
          <w:tcPr>
            <w:tcW w:type="dxa" w:w="136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Jurisdiction</w:t>
            </w:r>
          </w:p>
        </w:tc>
        <w:tc>
          <w:tcPr>
            <w:tcW w:type="dxa" w:w="2098"/>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Law / authority</w:t>
            </w:r>
          </w:p>
        </w:tc>
        <w:tc>
          <w:tcPr>
            <w:tcW w:type="dxa" w:w="164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Roles</w:t>
            </w:r>
          </w:p>
        </w:tc>
        <w:tc>
          <w:tcPr>
            <w:tcW w:type="dxa" w:w="4082"/>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Required completion points</w:t>
            </w:r>
          </w:p>
        </w:tc>
        <w:tc>
          <w:tcPr>
            <w:tcW w:type="dxa" w:w="136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Selected mechanism</w:t>
            </w:r>
          </w:p>
        </w:tc>
      </w:tr>
      <w:tr>
        <w:trPr>
          <w:cantSplit/>
        </w:trPr>
        <w:tc>
          <w:tcPr>
            <w:tcW w:type="dxa" w:w="136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India</w:t>
            </w:r>
          </w:p>
        </w:tc>
        <w:tc>
          <w:tcPr>
            <w:tcW w:type="dxa" w:w="2098"/>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DPDP Act 2023; DPDP Rules 2025 to the extent commenced</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Data Fiduciary / Data Processor</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Confirm notice and permitted processing; security safeguards; breach route; retention; Data Principal rights; children/sensitive context; government restrictions; cross-border conditions and current commencement dates.</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[Select / confirm]</w:t>
            </w:r>
          </w:p>
        </w:tc>
      </w:tr>
      <w:tr>
        <w:trPr>
          <w:cantSplit/>
        </w:trPr>
        <w:tc>
          <w:tcPr>
            <w:tcW w:type="dxa" w:w="136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EU / EEA</w:t>
            </w:r>
          </w:p>
        </w:tc>
        <w:tc>
          <w:tcPr>
            <w:tcW w:type="dxa" w:w="2098"/>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EU GDPR and applicable Member State law</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Controller / Processor / Joint Controller</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Article 28 terms; lawful basis and transparency; data-subject rights; DPIA where required; security and breach support; Chapter V transfer mechanism and transfer assessment.</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[Select / confirm]</w:t>
            </w:r>
          </w:p>
        </w:tc>
      </w:tr>
      <w:tr>
        <w:trPr>
          <w:cantSplit/>
        </w:trPr>
        <w:tc>
          <w:tcPr>
            <w:tcW w:type="dxa" w:w="136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United Kingdom</w:t>
            </w:r>
          </w:p>
        </w:tc>
        <w:tc>
          <w:tcPr>
            <w:tcW w:type="dxa" w:w="2098"/>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UK GDPR, Data Protection Act 2018 and current amendments</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Controller / Processor / Joint Controller</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Written processor terms; lawful basis and transparency; rights; security; breach support; UK transfer mechanism and assessment; confirm current ICO guidance.</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[Select / confirm]</w:t>
            </w:r>
          </w:p>
        </w:tc>
      </w:tr>
      <w:tr>
        <w:trPr>
          <w:cantSplit/>
        </w:trPr>
        <w:tc>
          <w:tcPr>
            <w:tcW w:type="dxa" w:w="136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California</w:t>
            </w:r>
          </w:p>
        </w:tc>
        <w:tc>
          <w:tcPr>
            <w:tcW w:type="dxa" w:w="2098"/>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CCPA/CPRA and regulations effective 1 January 2026, if applicable</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Business / Service Provider / Contractor / Third Party</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Specific business purpose; no sale or sharing; no use outside the contract; same-level protection; rights assistance; risk-assessment and cybersecurity-audit cooperation where applicable.</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[Select / confirm]</w:t>
            </w:r>
          </w:p>
        </w:tc>
      </w:tr>
      <w:tr>
        <w:trPr>
          <w:cantSplit/>
        </w:trPr>
        <w:tc>
          <w:tcPr>
            <w:tcW w:type="dxa" w:w="136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Singapore</w:t>
            </w:r>
          </w:p>
        </w:tc>
        <w:tc>
          <w:tcPr>
            <w:tcW w:type="dxa" w:w="2098"/>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Personal Data Protection Act</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Organisation / Data Intermediary</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Notification, consent or exception; purpose limitation; accuracy; protection; retention; breach notification; access/correction; comparable protection for overseas transfer.</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[Select / confirm]</w:t>
            </w:r>
          </w:p>
        </w:tc>
      </w:tr>
      <w:tr>
        <w:trPr>
          <w:cantSplit/>
        </w:trPr>
        <w:tc>
          <w:tcPr>
            <w:tcW w:type="dxa" w:w="136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Australia</w:t>
            </w:r>
          </w:p>
        </w:tc>
        <w:tc>
          <w:tcPr>
            <w:tcW w:type="dxa" w:w="2098"/>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Privacy Act 1988 and Australian Privacy Principles, if applicable</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APP entity / Overseas recipient</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Collection notice; use/disclosure limits; quality; security; access/correction; APP 8 cross-border steps and accountability; Notifiable Data Breaches assessment.</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[Select / confirm]</w:t>
            </w:r>
          </w:p>
        </w:tc>
      </w:tr>
      <w:tr>
        <w:trPr>
          <w:cantSplit/>
        </w:trPr>
        <w:tc>
          <w:tcPr>
            <w:tcW w:type="dxa" w:w="136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Brazil</w:t>
            </w:r>
          </w:p>
        </w:tc>
        <w:tc>
          <w:tcPr>
            <w:tcW w:type="dxa" w:w="2098"/>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LGPD and ANPD rules</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Controller / Processor</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Legal basis; transparency and rights; security and incident duties; records; international-transfer mechanism, including ANPD-approved clauses where required.</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[Select / confirm]</w:t>
            </w:r>
          </w:p>
        </w:tc>
      </w:tr>
      <w:tr>
        <w:trPr>
          <w:cantSplit/>
        </w:trPr>
        <w:tc>
          <w:tcPr>
            <w:tcW w:type="dxa" w:w="136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Other local authority</w:t>
            </w:r>
          </w:p>
        </w:tc>
        <w:tc>
          <w:tcPr>
            <w:tcW w:type="dxa" w:w="2098"/>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[Law, regulator and effective version]</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[Local roles]</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Record lawful basis, notices, sensitive-data restrictions, security, breach, rights, retention, localisation, government-access and transfer requirements.</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[Select / confirm]</w:t>
            </w:r>
          </w:p>
        </w:tc>
      </w:tr>
    </w:tbl>
    <w:p>
      <w:pPr>
        <w:pStyle w:val="Heading2"/>
        <w:keepNext/>
      </w:pPr>
      <w:r>
        <w:t>Transfer record</w:t>
      </w:r>
    </w:p>
    <w:tbl>
      <w:tblPr>
        <w:tblStyle w:val="TableGrid"/>
        <w:tblW w:type="auto" w:w="0"/>
        <w:jc w:val="center"/>
        <w:tblLayout w:type="fixed"/>
        <w:tblLook w:firstColumn="1" w:firstRow="1" w:lastColumn="0" w:lastRow="0" w:noHBand="0" w:noVBand="1" w:val="04A0"/>
      </w:tblPr>
      <w:tblGrid>
        <w:gridCol w:w="1450"/>
        <w:gridCol w:w="1450"/>
        <w:gridCol w:w="1450"/>
        <w:gridCol w:w="1450"/>
        <w:gridCol w:w="1450"/>
        <w:gridCol w:w="1450"/>
        <w:gridCol w:w="1450"/>
      </w:tblGrid>
      <w:tr>
        <w:trPr>
          <w:tblHeader w:val="true"/>
        </w:trPr>
        <w:tc>
          <w:tcPr>
            <w:tcW w:type="dxa" w:w="79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ID</w:t>
            </w:r>
          </w:p>
        </w:tc>
        <w:tc>
          <w:tcPr>
            <w:tcW w:type="dxa" w:w="153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Exporter</w:t>
            </w:r>
          </w:p>
        </w:tc>
        <w:tc>
          <w:tcPr>
            <w:tcW w:type="dxa" w:w="153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Importer</w:t>
            </w:r>
          </w:p>
        </w:tc>
        <w:tc>
          <w:tcPr>
            <w:tcW w:type="dxa" w:w="187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Data / purpose</w:t>
            </w:r>
          </w:p>
        </w:tc>
        <w:tc>
          <w:tcPr>
            <w:tcW w:type="dxa" w:w="164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Route</w:t>
            </w:r>
          </w:p>
        </w:tc>
        <w:tc>
          <w:tcPr>
            <w:tcW w:type="dxa" w:w="198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Mechanism</w:t>
            </w:r>
          </w:p>
        </w:tc>
        <w:tc>
          <w:tcPr>
            <w:tcW w:type="dxa" w:w="1020"/>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Approval</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TR-01</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[Exporter / role]</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[Importer / role]</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[Data / purpose]</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destination]</w:t>
            </w:r>
          </w:p>
        </w:tc>
        <w:tc>
          <w:tcPr>
            <w:tcW w:type="dxa" w:w="198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[Mechanism / assessment]</w:t>
            </w:r>
          </w:p>
        </w:tc>
        <w:tc>
          <w:tcPr>
            <w:tcW w:type="dxa" w:w="1020"/>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[Approval]</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TR-02</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[Exporter / role]</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[Importer / role]</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[Data / purpose]</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destination]</w:t>
            </w:r>
          </w:p>
        </w:tc>
        <w:tc>
          <w:tcPr>
            <w:tcW w:type="dxa" w:w="198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[Mechanism / assessment]</w:t>
            </w:r>
          </w:p>
        </w:tc>
        <w:tc>
          <w:tcPr>
            <w:tcW w:type="dxa" w:w="1020"/>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[Approval]</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TR-03</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[Exporter / role]</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[Importer / role]</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[Data / purpose]</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destination]</w:t>
            </w:r>
          </w:p>
        </w:tc>
        <w:tc>
          <w:tcPr>
            <w:tcW w:type="dxa" w:w="198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[Mechanism / assessment]</w:t>
            </w:r>
          </w:p>
        </w:tc>
        <w:tc>
          <w:tcPr>
            <w:tcW w:type="dxa" w:w="1020"/>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[Approval]</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TR-04</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[Exporter / role]</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[Importer / role]</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[Data / purpose]</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destination]</w:t>
            </w:r>
          </w:p>
        </w:tc>
        <w:tc>
          <w:tcPr>
            <w:tcW w:type="dxa" w:w="198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[Mechanism / assessment]</w:t>
            </w:r>
          </w:p>
        </w:tc>
        <w:tc>
          <w:tcPr>
            <w:tcW w:type="dxa" w:w="1020"/>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[Approval]</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TR-05</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[Exporter / role]</w:t>
            </w:r>
          </w:p>
        </w:tc>
        <w:tc>
          <w:tcPr>
            <w:tcW w:type="dxa" w:w="153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[Importer / role]</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[Data / purpose]</w:t>
            </w:r>
          </w:p>
        </w:tc>
        <w:tc>
          <w:tcPr>
            <w:tcW w:type="dxa" w:w="164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[Origin → destination]</w:t>
            </w:r>
          </w:p>
        </w:tc>
        <w:tc>
          <w:tcPr>
            <w:tcW w:type="dxa" w:w="1984"/>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[Mechanism / assessment]</w:t>
            </w:r>
          </w:p>
        </w:tc>
        <w:tc>
          <w:tcPr>
            <w:tcW w:type="dxa" w:w="1020"/>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[Approval]</w:t>
            </w:r>
          </w:p>
        </w:tc>
      </w:tr>
    </w:tbl>
    <w:p>
      <w:pPr>
        <w:pStyle w:val="Heading2"/>
        <w:keepNext/>
      </w:pPr>
      <w:r>
        <w:t>Commencement and change check</w:t>
      </w:r>
    </w:p>
    <w:p>
      <w:pPr>
        <w:spacing w:after="0" w:line="252" w:lineRule="auto"/>
      </w:pPr>
      <w:r>
        <w:rPr>
          <w:rFonts w:ascii="Aptos" w:hAnsi="Aptos"/>
          <w:b w:val="0"/>
          <w:i w:val="0"/>
          <w:color w:val="22211E"/>
          <w:sz w:val="18"/>
        </w:rPr>
        <w:t>Before activation, the Privacy Lead shall record the legal version and effective date actually in force. Staged commencement, regulatory amendments, adequacy decisions, transfer clauses and sector rules must be rechecked on onboarding, before a new corridor or location is added, and at least annually.</w:t>
      </w:r>
    </w:p>
    <w:p>
      <w:r>
        <w:br w:type="page"/>
      </w:r>
    </w:p>
    <w:p>
      <w:pPr>
        <w:keepNext/>
        <w:spacing w:before="0" w:after="100"/>
      </w:pPr>
      <w:r>
        <w:rPr>
          <w:rFonts w:ascii="Aptos" w:hAnsi="Aptos"/>
          <w:b/>
          <w:i w:val="0"/>
          <w:color w:val="F04B16"/>
          <w:sz w:val="16"/>
        </w:rPr>
        <w:t>SCHEDULE 4</w:t>
      </w:r>
    </w:p>
    <w:p>
      <w:pPr>
        <w:pStyle w:val="Heading1"/>
        <w:keepNext/>
      </w:pPr>
      <w:r>
        <w:t>Incident, rights, retention and audit procedures</w:t>
      </w:r>
    </w:p>
    <w:p>
      <w:pPr>
        <w:pStyle w:val="Heading2"/>
        <w:keepNext/>
      </w:pPr>
      <w:r>
        <w:t>Incident route</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38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Stage</w:t>
            </w:r>
          </w:p>
        </w:tc>
        <w:tc>
          <w:tcPr>
            <w:tcW w:type="dxa" w:w="782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Procedure</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Consultant awareness</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Start incident record, contain risk, preserve evidence and assess affected sources.</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Initial Client notice</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Without undue delay and within [24] hours of awareness; use the contacts below.</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Minimum content</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Nature of event; dates; data and individuals; systems and locations; likely consequences; containment; recovery; contact; known gaps.</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Updates</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At least every [24] hours during a material active incident, or at the cadence agreed with the Client.</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Regulatory / individual notice</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Client decides and issues unless law requires the Consultant to act. The Consultant provides facts and assistance.</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Post-incident review</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Root cause, control failure, affected scenario/lesson, corrective actions, owner, due date and verification evidence.</w:t>
            </w:r>
          </w:p>
        </w:tc>
      </w:tr>
    </w:tbl>
    <w:p>
      <w:pPr>
        <w:pStyle w:val="Heading2"/>
        <w:keepNext/>
      </w:pPr>
      <w:r>
        <w:t>Rights and regulator requests</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38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Event</w:t>
            </w:r>
          </w:p>
        </w:tc>
        <w:tc>
          <w:tcPr>
            <w:tcW w:type="dxa" w:w="782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Required action</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Request received by Consultant</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Forward securely to Client within [1] business day; preserve request metadata; do not disclose data without instruction.</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Search and retrieval</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Use source ID, subject identifiers and processing records; minimise access; record systems searched and result.</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Correction / restriction</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Apply only on Client instruction; propagate to approved derived records where applicable; record completion.</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Deletion</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Delete or isolate as instructed; retain only where law requires; provide certificate and exceptions.</w:t>
            </w:r>
          </w:p>
        </w:tc>
      </w:tr>
      <w:tr>
        <w:trPr>
          <w:cantSplit/>
        </w:trPr>
        <w:tc>
          <w:tcPr>
            <w:tcW w:type="dxa" w:w="2381"/>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Authority inquiry</w:t>
            </w:r>
          </w:p>
        </w:tc>
        <w:tc>
          <w:tcPr>
            <w:tcW w:type="dxa" w:w="7824"/>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Notify Client unless prohibited; preserve legal request; disclose only what is legally required; document the basis and scope.</w:t>
            </w:r>
          </w:p>
        </w:tc>
      </w:tr>
    </w:tbl>
    <w:p>
      <w:pPr>
        <w:pStyle w:val="Heading2"/>
        <w:keepNext/>
      </w:pPr>
      <w:r>
        <w:t>Retention and deletion register</w:t>
      </w:r>
    </w:p>
    <w:tbl>
      <w:tblPr>
        <w:tblStyle w:val="TableGrid"/>
        <w:tblW w:type="auto" w:w="0"/>
        <w:jc w:val="center"/>
        <w:tblLayout w:type="fixed"/>
        <w:tblLook w:firstColumn="1" w:firstRow="1" w:lastColumn="0" w:lastRow="0" w:noHBand="0" w:noVBand="1" w:val="04A0"/>
      </w:tblPr>
      <w:tblGrid>
        <w:gridCol w:w="1450"/>
        <w:gridCol w:w="1450"/>
        <w:gridCol w:w="1450"/>
        <w:gridCol w:w="1450"/>
        <w:gridCol w:w="1450"/>
        <w:gridCol w:w="1450"/>
        <w:gridCol w:w="1450"/>
      </w:tblGrid>
      <w:tr>
        <w:trPr>
          <w:tblHeader w:val="true"/>
        </w:trPr>
        <w:tc>
          <w:tcPr>
            <w:tcW w:type="dxa" w:w="79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ID</w:t>
            </w:r>
          </w:p>
        </w:tc>
        <w:tc>
          <w:tcPr>
            <w:tcW w:type="dxa" w:w="187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Dataset</w:t>
            </w:r>
          </w:p>
        </w:tc>
        <w:tc>
          <w:tcPr>
            <w:tcW w:type="dxa" w:w="175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Purpose</w:t>
            </w:r>
          </w:p>
        </w:tc>
        <w:tc>
          <w:tcPr>
            <w:tcW w:type="dxa" w:w="141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Retention</w:t>
            </w:r>
          </w:p>
        </w:tc>
        <w:tc>
          <w:tcPr>
            <w:tcW w:type="dxa" w:w="141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Backup expiry</w:t>
            </w:r>
          </w:p>
        </w:tc>
        <w:tc>
          <w:tcPr>
            <w:tcW w:type="dxa" w:w="124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Hold</w:t>
            </w:r>
          </w:p>
        </w:tc>
        <w:tc>
          <w:tcPr>
            <w:tcW w:type="dxa" w:w="170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3"/>
              </w:rPr>
              <w:t>Evidence</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RET-01</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[Dataset / source]</w:t>
            </w:r>
          </w:p>
        </w:tc>
        <w:tc>
          <w:tcPr>
            <w:tcW w:type="dxa" w:w="175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w:t>
            </w:r>
          </w:p>
        </w:tc>
        <w:tc>
          <w:tcPr>
            <w:tcW w:type="dxa" w:w="141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[Active period]</w:t>
            </w:r>
          </w:p>
        </w:tc>
        <w:tc>
          <w:tcPr>
            <w:tcW w:type="dxa" w:w="141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[Backup cycle]</w:t>
            </w:r>
          </w:p>
        </w:tc>
        <w:tc>
          <w:tcPr>
            <w:tcW w:type="dxa" w:w="124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[Legal hold]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[Deletion evidence]</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RET-02</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[Dataset / source]</w:t>
            </w:r>
          </w:p>
        </w:tc>
        <w:tc>
          <w:tcPr>
            <w:tcW w:type="dxa" w:w="175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w:t>
            </w:r>
          </w:p>
        </w:tc>
        <w:tc>
          <w:tcPr>
            <w:tcW w:type="dxa" w:w="141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[Active period]</w:t>
            </w:r>
          </w:p>
        </w:tc>
        <w:tc>
          <w:tcPr>
            <w:tcW w:type="dxa" w:w="141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[Backup cycle]</w:t>
            </w:r>
          </w:p>
        </w:tc>
        <w:tc>
          <w:tcPr>
            <w:tcW w:type="dxa" w:w="124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[Legal hold]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[Deletion evidence]</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RET-03</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[Dataset / source]</w:t>
            </w:r>
          </w:p>
        </w:tc>
        <w:tc>
          <w:tcPr>
            <w:tcW w:type="dxa" w:w="175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w:t>
            </w:r>
          </w:p>
        </w:tc>
        <w:tc>
          <w:tcPr>
            <w:tcW w:type="dxa" w:w="141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[Active period]</w:t>
            </w:r>
          </w:p>
        </w:tc>
        <w:tc>
          <w:tcPr>
            <w:tcW w:type="dxa" w:w="141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[Backup cycle]</w:t>
            </w:r>
          </w:p>
        </w:tc>
        <w:tc>
          <w:tcPr>
            <w:tcW w:type="dxa" w:w="124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[Legal hold]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[Deletion evidence]</w:t>
            </w:r>
          </w:p>
        </w:tc>
      </w:tr>
      <w:tr>
        <w:trPr>
          <w:cantSplit/>
        </w:trPr>
        <w:tc>
          <w:tcPr>
            <w:tcW w:type="dxa" w:w="79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3"/>
              </w:rPr>
              <w:t>RET-04</w:t>
            </w:r>
          </w:p>
        </w:tc>
        <w:tc>
          <w:tcPr>
            <w:tcW w:type="dxa" w:w="187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[Dataset / source]</w:t>
            </w:r>
          </w:p>
        </w:tc>
        <w:tc>
          <w:tcPr>
            <w:tcW w:type="dxa" w:w="175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[Purpose]</w:t>
            </w:r>
          </w:p>
        </w:tc>
        <w:tc>
          <w:tcPr>
            <w:tcW w:type="dxa" w:w="141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[Active period]</w:t>
            </w:r>
          </w:p>
        </w:tc>
        <w:tc>
          <w:tcPr>
            <w:tcW w:type="dxa" w:w="141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[Backup cycle]</w:t>
            </w:r>
          </w:p>
        </w:tc>
        <w:tc>
          <w:tcPr>
            <w:tcW w:type="dxa" w:w="1247"/>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[Legal hold]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3"/>
              </w:rPr>
              <w:t>[Deletion evidence]</w:t>
            </w:r>
          </w:p>
        </w:tc>
      </w:tr>
    </w:tbl>
    <w:p>
      <w:pPr>
        <w:pStyle w:val="Heading2"/>
        <w:keepNext/>
      </w:pPr>
      <w:r>
        <w:t>Contacts and audit</w:t>
      </w:r>
    </w:p>
    <w:tbl>
      <w:tblPr>
        <w:tblStyle w:val="TableGrid"/>
        <w:tblW w:type="auto" w:w="0"/>
        <w:jc w:val="center"/>
        <w:tblLayout w:type="fixed"/>
        <w:tblLook w:firstColumn="1" w:firstRow="1" w:lastColumn="0" w:lastRow="0" w:noHBand="0" w:noVBand="1" w:val="04A0"/>
      </w:tblPr>
      <w:tblGrid>
        <w:gridCol w:w="5074"/>
        <w:gridCol w:w="5074"/>
      </w:tblGrid>
      <w:tr>
        <w:trPr>
          <w:tblHeader w:val="true"/>
        </w:trPr>
        <w:tc>
          <w:tcPr>
            <w:tcW w:type="dxa" w:w="2835"/>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Item</w:t>
            </w:r>
          </w:p>
        </w:tc>
        <w:tc>
          <w:tcPr>
            <w:tcW w:type="dxa" w:w="7370"/>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Agreed detail</w:t>
            </w:r>
          </w:p>
        </w:tc>
      </w:tr>
      <w:tr>
        <w:trPr>
          <w:cantSplit/>
        </w:trPr>
        <w:tc>
          <w:tcPr>
            <w:tcW w:type="dxa" w:w="2835"/>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Client incident contact</w:t>
            </w:r>
          </w:p>
        </w:tc>
        <w:tc>
          <w:tcPr>
            <w:tcW w:type="dxa" w:w="7370"/>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[24/7 name, email, phone]</w:t>
            </w:r>
          </w:p>
        </w:tc>
      </w:tr>
      <w:tr>
        <w:trPr>
          <w:cantSplit/>
        </w:trPr>
        <w:tc>
          <w:tcPr>
            <w:tcW w:type="dxa" w:w="2835"/>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Consultant incident contact</w:t>
            </w:r>
          </w:p>
        </w:tc>
        <w:tc>
          <w:tcPr>
            <w:tcW w:type="dxa" w:w="7370"/>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[24/7 name, email, phone]</w:t>
            </w:r>
          </w:p>
        </w:tc>
      </w:tr>
      <w:tr>
        <w:trPr>
          <w:cantSplit/>
        </w:trPr>
        <w:tc>
          <w:tcPr>
            <w:tcW w:type="dxa" w:w="2835"/>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Client rights / privacy contact</w:t>
            </w:r>
          </w:p>
        </w:tc>
        <w:tc>
          <w:tcPr>
            <w:tcW w:type="dxa" w:w="7370"/>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[Name, email, phone]</w:t>
            </w:r>
          </w:p>
        </w:tc>
      </w:tr>
      <w:tr>
        <w:trPr>
          <w:cantSplit/>
        </w:trPr>
        <w:tc>
          <w:tcPr>
            <w:tcW w:type="dxa" w:w="2835"/>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Audit notice and cadence</w:t>
            </w:r>
          </w:p>
        </w:tc>
        <w:tc>
          <w:tcPr>
            <w:tcW w:type="dxa" w:w="7370"/>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[Notice period; annual review; post-incident or regulator-triggered audit]</w:t>
            </w:r>
          </w:p>
        </w:tc>
      </w:tr>
    </w:tbl>
    <w:p>
      <w:r>
        <w:br w:type="page"/>
      </w:r>
    </w:p>
    <w:p>
      <w:pPr>
        <w:keepNext/>
        <w:spacing w:before="0" w:after="100"/>
      </w:pPr>
      <w:r>
        <w:rPr>
          <w:rFonts w:ascii="Aptos" w:hAnsi="Aptos"/>
          <w:b/>
          <w:i w:val="0"/>
          <w:color w:val="F04B16"/>
          <w:sz w:val="16"/>
        </w:rPr>
        <w:t>SCHEDULE 5</w:t>
      </w:r>
    </w:p>
    <w:p>
      <w:pPr>
        <w:pStyle w:val="Heading1"/>
        <w:keepNext/>
      </w:pPr>
      <w:r>
        <w:t>Approval and activation record</w:t>
      </w:r>
    </w:p>
    <w:p>
      <w:pPr>
        <w:spacing w:after="140" w:line="252" w:lineRule="auto"/>
      </w:pPr>
      <w:r>
        <w:rPr>
          <w:rFonts w:ascii="Aptos" w:hAnsi="Aptos"/>
          <w:b w:val="0"/>
          <w:i w:val="0"/>
          <w:color w:val="22211E"/>
          <w:sz w:val="18"/>
        </w:rPr>
        <w:t>The following gates must be complete before the first live connection. A conditional approval must state its restriction, owner and expiry. The Consultant shall retain the signed or electronically approved record in the audit trail.</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trPr>
        <w:tc>
          <w:tcPr>
            <w:tcW w:type="dxa" w:w="850"/>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Gate</w:t>
            </w:r>
          </w:p>
        </w:tc>
        <w:tc>
          <w:tcPr>
            <w:tcW w:type="dxa" w:w="4535"/>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Requirement</w:t>
            </w:r>
          </w:p>
        </w:tc>
        <w:tc>
          <w:tcPr>
            <w:tcW w:type="dxa" w:w="1928"/>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Approver</w:t>
            </w:r>
          </w:p>
        </w:tc>
        <w:tc>
          <w:tcPr>
            <w:tcW w:type="dxa" w:w="136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Status</w:t>
            </w:r>
          </w:p>
        </w:tc>
        <w:tc>
          <w:tcPr>
            <w:tcW w:type="dxa" w:w="170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Evidence</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G-01</w:t>
            </w:r>
          </w:p>
        </w:tc>
        <w:tc>
          <w:tcPr>
            <w:tcW w:type="dxa" w:w="4535"/>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Parties, term, service and delivery model confirmed</w:t>
            </w:r>
          </w:p>
        </w:tc>
        <w:tc>
          <w:tcPr>
            <w:tcW w:type="dxa" w:w="1928"/>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Enterprise Owner</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[Open/Approved]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[Evidence / date]</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G-02</w:t>
            </w:r>
          </w:p>
        </w:tc>
        <w:tc>
          <w:tcPr>
            <w:tcW w:type="dxa" w:w="4535"/>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Applicable Section A, B and C onboarding factors completed</w:t>
            </w:r>
          </w:p>
        </w:tc>
        <w:tc>
          <w:tcPr>
            <w:tcW w:type="dxa" w:w="1928"/>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In-house Risk Analyst</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[Open/Approved]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[Workbook version / date]</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G-03</w:t>
            </w:r>
          </w:p>
        </w:tc>
        <w:tc>
          <w:tcPr>
            <w:tcW w:type="dxa" w:w="4535"/>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Every online source approved in Schedule 1</w:t>
            </w:r>
          </w:p>
        </w:tc>
        <w:tc>
          <w:tcPr>
            <w:tcW w:type="dxa" w:w="1928"/>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Source Owners</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[Open/Approved]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[Source IDs]</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G-04</w:t>
            </w:r>
          </w:p>
        </w:tc>
        <w:tc>
          <w:tcPr>
            <w:tcW w:type="dxa" w:w="4535"/>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Personal-data classification and jurisdictions confirmed</w:t>
            </w:r>
          </w:p>
        </w:tc>
        <w:tc>
          <w:tcPr>
            <w:tcW w:type="dxa" w:w="1928"/>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Privacy Lead</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[Open/Approved]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[Schedule 3 version]</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G-05</w:t>
            </w:r>
          </w:p>
        </w:tc>
        <w:tc>
          <w:tcPr>
            <w:tcW w:type="dxa" w:w="4535"/>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Transfer mechanisms and local-law additions executed</w:t>
            </w:r>
          </w:p>
        </w:tc>
        <w:tc>
          <w:tcPr>
            <w:tcW w:type="dxa" w:w="1928"/>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Legal / Privacy Lead</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[Open/Approved]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[Instrument / date]</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G-06</w:t>
            </w:r>
          </w:p>
        </w:tc>
        <w:tc>
          <w:tcPr>
            <w:tcW w:type="dxa" w:w="4535"/>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Security controls, sub-processors and exceptions accepted</w:t>
            </w:r>
          </w:p>
        </w:tc>
        <w:tc>
          <w:tcPr>
            <w:tcW w:type="dxa" w:w="1928"/>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Security Lead</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[Open/Approved]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[Assessment / date]</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G-07</w:t>
            </w:r>
          </w:p>
        </w:tc>
        <w:tc>
          <w:tcPr>
            <w:tcW w:type="dxa" w:w="4535"/>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Read-only access, logging and revocation tested</w:t>
            </w:r>
          </w:p>
        </w:tc>
        <w:tc>
          <w:tcPr>
            <w:tcW w:type="dxa" w:w="1928"/>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System Owner</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[Open/Approved]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[Test record]</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G-08</w:t>
            </w:r>
          </w:p>
        </w:tc>
        <w:tc>
          <w:tcPr>
            <w:tcW w:type="dxa" w:w="4535"/>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Baseline, evidence-confidence rules and reconciliation accepted</w:t>
            </w:r>
          </w:p>
        </w:tc>
        <w:tc>
          <w:tcPr>
            <w:tcW w:type="dxa" w:w="1928"/>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Risk Analyst</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[Open/Approved]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[Validation record]</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G-09</w:t>
            </w:r>
          </w:p>
        </w:tc>
        <w:tc>
          <w:tcPr>
            <w:tcW w:type="dxa" w:w="4535"/>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Candidate calibration backtested and independently approved</w:t>
            </w:r>
          </w:p>
        </w:tc>
        <w:tc>
          <w:tcPr>
            <w:tcW w:type="dxa" w:w="1928"/>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Model Approver</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[Open/Approved]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[Model version]</w:t>
            </w:r>
          </w:p>
        </w:tc>
      </w:tr>
      <w:tr>
        <w:trPr>
          <w:cantSplit/>
        </w:trPr>
        <w:tc>
          <w:tcPr>
            <w:tcW w:type="dxa" w:w="850"/>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G-10</w:t>
            </w:r>
          </w:p>
        </w:tc>
        <w:tc>
          <w:tcPr>
            <w:tcW w:type="dxa" w:w="4535"/>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Incident, rights, retention and deletion procedures tested</w:t>
            </w:r>
          </w:p>
        </w:tc>
        <w:tc>
          <w:tcPr>
            <w:tcW w:type="dxa" w:w="1928"/>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Privacy and Security Leads</w:t>
            </w:r>
          </w:p>
        </w:tc>
        <w:tc>
          <w:tcPr>
            <w:tcW w:type="dxa" w:w="136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[Open/Approved]</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[Exercise record]</w:t>
            </w:r>
          </w:p>
        </w:tc>
      </w:tr>
    </w:tbl>
    <w:p>
      <w:pPr>
        <w:pStyle w:val="Heading2"/>
        <w:keepNext/>
      </w:pPr>
      <w:r>
        <w:t>Signatures</w:t>
      </w:r>
    </w:p>
    <w:tbl>
      <w:tblPr>
        <w:tblStyle w:val="TableGrid"/>
        <w:tblW w:type="auto" w:w="0"/>
        <w:tblLook w:firstColumn="1" w:firstRow="1" w:lastColumn="0" w:lastRow="0" w:noHBand="0" w:noVBand="1" w:val="04A0"/>
      </w:tblPr>
      <w:tblGrid>
        <w:gridCol w:w="5074"/>
        <w:gridCol w:w="5074"/>
      </w:tblGrid>
      <w:tr>
        <w:trPr>
          <w:cantSplit/>
        </w:trPr>
        <w:tc>
          <w:tcPr>
            <w:tcW w:type="dxa" w:w="5074"/>
            <w:vAlign w:val="center"/>
            <w:tcMar>
              <w:top w:w="70" w:type="dxa"/>
              <w:start w:w="90" w:type="dxa"/>
              <w:bottom w:w="70" w:type="dxa"/>
              <w:end w:w="90" w:type="dxa"/>
            </w:tcMar>
            <w:shd w:fill="22211E"/>
          </w:tcPr>
          <w:p>
            <w:pPr>
              <w:spacing w:before="0" w:after="0" w:line="240" w:lineRule="auto"/>
            </w:pPr>
            <w:r/>
            <w:r>
              <w:rPr>
                <w:rFonts w:ascii="Aptos" w:hAnsi="Aptos"/>
                <w:b/>
                <w:i w:val="0"/>
                <w:color w:val="FFFFFF"/>
                <w:sz w:val="16"/>
              </w:rPr>
              <w:t>For the Client</w:t>
            </w:r>
          </w:p>
        </w:tc>
        <w:tc>
          <w:tcPr>
            <w:tcW w:type="dxa" w:w="5074"/>
            <w:vAlign w:val="center"/>
            <w:tcMar>
              <w:top w:w="70" w:type="dxa"/>
              <w:start w:w="90" w:type="dxa"/>
              <w:bottom w:w="70" w:type="dxa"/>
              <w:end w:w="90" w:type="dxa"/>
            </w:tcMar>
            <w:shd w:fill="22211E"/>
          </w:tcPr>
          <w:p>
            <w:pPr>
              <w:spacing w:before="0" w:after="0" w:line="240" w:lineRule="auto"/>
            </w:pPr>
            <w:r/>
            <w:r>
              <w:rPr>
                <w:rFonts w:ascii="Aptos" w:hAnsi="Aptos"/>
                <w:b/>
                <w:i w:val="0"/>
                <w:color w:val="FFFFFF"/>
                <w:sz w:val="16"/>
              </w:rPr>
              <w:t>For the Consultant</w:t>
            </w:r>
          </w:p>
        </w:tc>
      </w:tr>
      <w:tr>
        <w:trPr>
          <w:cantSplit/>
        </w:trPr>
        <w:tc>
          <w:tcPr>
            <w:tcW w:type="dxa" w:w="5074"/>
            <w:vAlign w:val="center"/>
            <w:tcMar>
              <w:top w:w="70" w:type="dxa"/>
              <w:start w:w="90" w:type="dxa"/>
              <w:bottom w:w="70" w:type="dxa"/>
              <w:end w:w="90" w:type="dxa"/>
            </w:tcMar>
          </w:tcPr>
          <w:p>
            <w:pPr>
              <w:spacing w:before="0" w:after="0" w:line="240" w:lineRule="auto"/>
            </w:pPr>
            <w:r/>
            <w:r>
              <w:rPr>
                <w:rFonts w:ascii="Aptos" w:hAnsi="Aptos"/>
                <w:b w:val="0"/>
                <w:i w:val="0"/>
                <w:color w:val="22211E"/>
                <w:sz w:val="16"/>
              </w:rPr>
              <w:t>Name: ______________________________</w:t>
            </w:r>
          </w:p>
        </w:tc>
        <w:tc>
          <w:tcPr>
            <w:tcW w:type="dxa" w:w="5074"/>
            <w:vAlign w:val="center"/>
            <w:tcMar>
              <w:top w:w="70" w:type="dxa"/>
              <w:start w:w="90" w:type="dxa"/>
              <w:bottom w:w="70" w:type="dxa"/>
              <w:end w:w="90" w:type="dxa"/>
            </w:tcMar>
          </w:tcPr>
          <w:p>
            <w:pPr>
              <w:spacing w:before="0" w:after="0" w:line="240" w:lineRule="auto"/>
            </w:pPr>
            <w:r/>
            <w:r>
              <w:rPr>
                <w:rFonts w:ascii="Aptos" w:hAnsi="Aptos"/>
                <w:b w:val="0"/>
                <w:i w:val="0"/>
                <w:color w:val="22211E"/>
                <w:sz w:val="16"/>
              </w:rPr>
              <w:t>Name: ______________________________</w:t>
            </w:r>
          </w:p>
        </w:tc>
      </w:tr>
      <w:tr>
        <w:trPr>
          <w:cantSplit/>
        </w:trPr>
        <w:tc>
          <w:tcPr>
            <w:tcW w:type="dxa" w:w="5074"/>
            <w:vAlign w:val="center"/>
            <w:tcMar>
              <w:top w:w="70" w:type="dxa"/>
              <w:start w:w="90" w:type="dxa"/>
              <w:bottom w:w="70" w:type="dxa"/>
              <w:end w:w="90" w:type="dxa"/>
            </w:tcMar>
          </w:tcPr>
          <w:p>
            <w:pPr>
              <w:spacing w:before="0" w:after="0" w:line="240" w:lineRule="auto"/>
            </w:pPr>
            <w:r/>
            <w:r>
              <w:rPr>
                <w:rFonts w:ascii="Aptos" w:hAnsi="Aptos"/>
                <w:b w:val="0"/>
                <w:i w:val="0"/>
                <w:color w:val="22211E"/>
                <w:sz w:val="16"/>
              </w:rPr>
              <w:t>Title: _______________________________</w:t>
            </w:r>
          </w:p>
        </w:tc>
        <w:tc>
          <w:tcPr>
            <w:tcW w:type="dxa" w:w="5074"/>
            <w:vAlign w:val="center"/>
            <w:tcMar>
              <w:top w:w="70" w:type="dxa"/>
              <w:start w:w="90" w:type="dxa"/>
              <w:bottom w:w="70" w:type="dxa"/>
              <w:end w:w="90" w:type="dxa"/>
            </w:tcMar>
          </w:tcPr>
          <w:p>
            <w:pPr>
              <w:spacing w:before="0" w:after="0" w:line="240" w:lineRule="auto"/>
            </w:pPr>
            <w:r/>
            <w:r>
              <w:rPr>
                <w:rFonts w:ascii="Aptos" w:hAnsi="Aptos"/>
                <w:b w:val="0"/>
                <w:i w:val="0"/>
                <w:color w:val="22211E"/>
                <w:sz w:val="16"/>
              </w:rPr>
              <w:t>Title: _______________________________</w:t>
            </w:r>
          </w:p>
        </w:tc>
      </w:tr>
      <w:tr>
        <w:trPr>
          <w:cantSplit/>
        </w:trPr>
        <w:tc>
          <w:tcPr>
            <w:tcW w:type="dxa" w:w="5074"/>
            <w:vAlign w:val="center"/>
            <w:tcMar>
              <w:top w:w="70" w:type="dxa"/>
              <w:start w:w="90" w:type="dxa"/>
              <w:bottom w:w="70" w:type="dxa"/>
              <w:end w:w="90" w:type="dxa"/>
            </w:tcMar>
          </w:tcPr>
          <w:p>
            <w:pPr>
              <w:spacing w:before="0" w:after="0" w:line="240" w:lineRule="auto"/>
            </w:pPr>
            <w:r/>
            <w:r>
              <w:rPr>
                <w:rFonts w:ascii="Aptos" w:hAnsi="Aptos"/>
                <w:b w:val="0"/>
                <w:i w:val="0"/>
                <w:color w:val="22211E"/>
                <w:sz w:val="16"/>
              </w:rPr>
              <w:t>Signature: ___________________________</w:t>
            </w:r>
          </w:p>
        </w:tc>
        <w:tc>
          <w:tcPr>
            <w:tcW w:type="dxa" w:w="5074"/>
            <w:vAlign w:val="center"/>
            <w:tcMar>
              <w:top w:w="70" w:type="dxa"/>
              <w:start w:w="90" w:type="dxa"/>
              <w:bottom w:w="70" w:type="dxa"/>
              <w:end w:w="90" w:type="dxa"/>
            </w:tcMar>
          </w:tcPr>
          <w:p>
            <w:pPr>
              <w:spacing w:before="0" w:after="0" w:line="240" w:lineRule="auto"/>
            </w:pPr>
            <w:r/>
            <w:r>
              <w:rPr>
                <w:rFonts w:ascii="Aptos" w:hAnsi="Aptos"/>
                <w:b w:val="0"/>
                <w:i w:val="0"/>
                <w:color w:val="22211E"/>
                <w:sz w:val="16"/>
              </w:rPr>
              <w:t>Signature: ___________________________</w:t>
            </w:r>
          </w:p>
        </w:tc>
      </w:tr>
      <w:tr>
        <w:trPr>
          <w:cantSplit/>
        </w:trPr>
        <w:tc>
          <w:tcPr>
            <w:tcW w:type="dxa" w:w="5074"/>
            <w:vAlign w:val="center"/>
            <w:tcMar>
              <w:top w:w="70" w:type="dxa"/>
              <w:start w:w="90" w:type="dxa"/>
              <w:bottom w:w="70" w:type="dxa"/>
              <w:end w:w="90" w:type="dxa"/>
            </w:tcMar>
          </w:tcPr>
          <w:p>
            <w:pPr>
              <w:spacing w:before="0" w:after="0" w:line="240" w:lineRule="auto"/>
            </w:pPr>
            <w:r/>
            <w:r>
              <w:rPr>
                <w:rFonts w:ascii="Aptos" w:hAnsi="Aptos"/>
                <w:b w:val="0"/>
                <w:i w:val="0"/>
                <w:color w:val="22211E"/>
                <w:sz w:val="16"/>
              </w:rPr>
              <w:t>Date: ________________________________</w:t>
            </w:r>
          </w:p>
        </w:tc>
        <w:tc>
          <w:tcPr>
            <w:tcW w:type="dxa" w:w="5074"/>
            <w:vAlign w:val="center"/>
            <w:tcMar>
              <w:top w:w="70" w:type="dxa"/>
              <w:start w:w="90" w:type="dxa"/>
              <w:bottom w:w="70" w:type="dxa"/>
              <w:end w:w="90" w:type="dxa"/>
            </w:tcMar>
          </w:tcPr>
          <w:p>
            <w:pPr>
              <w:spacing w:before="0" w:after="0" w:line="240" w:lineRule="auto"/>
            </w:pPr>
            <w:r/>
            <w:r>
              <w:rPr>
                <w:rFonts w:ascii="Aptos" w:hAnsi="Aptos"/>
                <w:b w:val="0"/>
                <w:i w:val="0"/>
                <w:color w:val="22211E"/>
                <w:sz w:val="16"/>
              </w:rPr>
              <w:t>Date: ________________________________</w:t>
            </w:r>
          </w:p>
        </w:tc>
      </w:tr>
    </w:tbl>
    <w:p>
      <w:pPr>
        <w:pStyle w:val="Heading2"/>
        <w:keepNext/>
      </w:pPr>
      <w:r>
        <w:t>Approval effect</w:t>
      </w:r>
    </w:p>
    <w:p>
      <w:pPr>
        <w:spacing w:after="0" w:line="252" w:lineRule="auto"/>
      </w:pPr>
      <w:r>
        <w:rPr>
          <w:rFonts w:ascii="Aptos" w:hAnsi="Aptos"/>
          <w:b w:val="0"/>
          <w:i w:val="0"/>
          <w:color w:val="22211E"/>
          <w:sz w:val="18"/>
        </w:rPr>
        <w:t>Execution of this Agreement does not itself approve every source. Only a source marked Approved in Schedule 1 and supported by completed applicable schedules may be connected. Approval may be revoked through the governed change process, after which access shall be disabled without delay.</w:t>
      </w:r>
    </w:p>
    <w:p>
      <w:r>
        <w:br w:type="page"/>
      </w:r>
    </w:p>
    <w:p>
      <w:pPr>
        <w:keepNext/>
        <w:spacing w:before="0" w:after="100"/>
      </w:pPr>
      <w:r>
        <w:rPr>
          <w:rFonts w:ascii="Aptos" w:hAnsi="Aptos"/>
          <w:b/>
          <w:i w:val="0"/>
          <w:color w:val="F04B16"/>
          <w:sz w:val="16"/>
        </w:rPr>
        <w:t>REFERENCE RECORD</w:t>
      </w:r>
    </w:p>
    <w:p>
      <w:pPr>
        <w:pStyle w:val="Heading1"/>
        <w:keepNext/>
      </w:pPr>
      <w:r>
        <w:t>Official legal sources reviewed</w:t>
      </w:r>
    </w:p>
    <w:p>
      <w:pPr>
        <w:spacing w:after="140" w:line="252" w:lineRule="auto"/>
      </w:pPr>
      <w:r>
        <w:rPr>
          <w:rFonts w:ascii="Aptos" w:hAnsi="Aptos"/>
          <w:b w:val="0"/>
          <w:i w:val="0"/>
          <w:color w:val="22211E"/>
          <w:sz w:val="18"/>
        </w:rPr>
        <w:t>The jurisdiction schedule was prepared against the official sources below as reviewed on 1 October 2026. The executed agreement should record the version and effective provisions applicable to the Client and processing activity. Sector rules, employment law, secrecy duties, financial regulation and local contractual requirements may add further obligations.</w:t>
      </w:r>
    </w:p>
    <w:tbl>
      <w:tblPr>
        <w:tblStyle w:val="TableGrid"/>
        <w:tblW w:type="auto" w:w="0"/>
        <w:jc w:val="center"/>
        <w:tblLayout w:type="fixed"/>
        <w:tblLook w:firstColumn="1" w:firstRow="1" w:lastColumn="0" w:lastRow="0" w:noHBand="0" w:noVBand="1" w:val="04A0"/>
      </w:tblPr>
      <w:tblGrid>
        <w:gridCol w:w="3383"/>
        <w:gridCol w:w="3383"/>
        <w:gridCol w:w="3383"/>
      </w:tblGrid>
      <w:tr>
        <w:trPr>
          <w:tblHeader w:val="true"/>
        </w:trPr>
        <w:tc>
          <w:tcPr>
            <w:tcW w:type="dxa" w:w="1417"/>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Jurisdiction</w:t>
            </w:r>
          </w:p>
        </w:tc>
        <w:tc>
          <w:tcPr>
            <w:tcW w:type="dxa" w:w="4082"/>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Official source</w:t>
            </w:r>
          </w:p>
        </w:tc>
        <w:tc>
          <w:tcPr>
            <w:tcW w:type="dxa" w:w="4706"/>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4"/>
              </w:rPr>
              <w:t>Location</w:t>
            </w:r>
          </w:p>
        </w:tc>
      </w:tr>
      <w:tr>
        <w:trPr>
          <w:cantSplit/>
        </w:trPr>
        <w:tc>
          <w:tcPr>
            <w:tcW w:type="dxa" w:w="1417"/>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India</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Digital Personal Data Protection Act, 2023; Digital Personal Data Protection Rules, 2025; Ministry of Electronics and Information Technology</w:t>
            </w:r>
          </w:p>
        </w:tc>
        <w:tc>
          <w:tcPr>
            <w:tcW w:type="dxa" w:w="4706"/>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https://www.meity.gov.in/static/uploads/2024/02/Digital-Personal-Data-Protection-Act-2023.pdf</w:t>
              <w:br/>
              <w:t>https://www.meity.gov.in/documents/act-and-policies/digital-personal-data-protection-rules-2025-gDOxUjMtQWa</w:t>
            </w:r>
          </w:p>
        </w:tc>
      </w:tr>
      <w:tr>
        <w:trPr>
          <w:cantSplit/>
        </w:trPr>
        <w:tc>
          <w:tcPr>
            <w:tcW w:type="dxa" w:w="1417"/>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EU / EEA</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Regulation (EU) 2016/679, including Articles 25, 28, 32–36 and Chapter V</w:t>
            </w:r>
          </w:p>
        </w:tc>
        <w:tc>
          <w:tcPr>
            <w:tcW w:type="dxa" w:w="4706"/>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https://eur-lex.europa.eu/legal-content/EN/TXT/?uri=CELEX:32016R0679</w:t>
            </w:r>
          </w:p>
        </w:tc>
      </w:tr>
      <w:tr>
        <w:trPr>
          <w:cantSplit/>
        </w:trPr>
        <w:tc>
          <w:tcPr>
            <w:tcW w:type="dxa" w:w="1417"/>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United Kingdom</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Information Commissioner’s Office guidance on controllers, processors and contracts</w:t>
            </w:r>
          </w:p>
        </w:tc>
        <w:tc>
          <w:tcPr>
            <w:tcW w:type="dxa" w:w="4706"/>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https://ico.org.uk/for-organisations/uk-gdpr-guidance-and-resources/accountability-and-governance/contracts-and-liabilities-between-controllers-and-processors-multi/</w:t>
            </w:r>
          </w:p>
        </w:tc>
      </w:tr>
      <w:tr>
        <w:trPr>
          <w:cantSplit/>
        </w:trPr>
        <w:tc>
          <w:tcPr>
            <w:tcW w:type="dxa" w:w="1417"/>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California</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California Privacy Protection Agency, CCPA statute and regulations effective 1 January 2026</w:t>
            </w:r>
          </w:p>
        </w:tc>
        <w:tc>
          <w:tcPr>
            <w:tcW w:type="dxa" w:w="4706"/>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https://cppa.ca.gov/regulations/</w:t>
              <w:br/>
              <w:t>https://cppa.ca.gov/regulations/pdf/ccpa_statute_eff_20260101.pdf</w:t>
            </w:r>
          </w:p>
        </w:tc>
      </w:tr>
      <w:tr>
        <w:trPr>
          <w:cantSplit/>
        </w:trPr>
        <w:tc>
          <w:tcPr>
            <w:tcW w:type="dxa" w:w="1417"/>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Singapore</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Personal Data Protection Commission, Data Protection Obligations</w:t>
            </w:r>
          </w:p>
        </w:tc>
        <w:tc>
          <w:tcPr>
            <w:tcW w:type="dxa" w:w="4706"/>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https://www.pdpc.gov.sg/overview-of-pdpa/the-legislation/personal-data-protection-act/data-protection-obligations</w:t>
            </w:r>
          </w:p>
        </w:tc>
      </w:tr>
      <w:tr>
        <w:trPr>
          <w:cantSplit/>
        </w:trPr>
        <w:tc>
          <w:tcPr>
            <w:tcW w:type="dxa" w:w="1417"/>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Australia</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Office of the Australian Information Commissioner, Australian Privacy Principles and APP 8 guidance</w:t>
            </w:r>
          </w:p>
        </w:tc>
        <w:tc>
          <w:tcPr>
            <w:tcW w:type="dxa" w:w="4706"/>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https://www.oaic.gov.au/privacy/australian-privacy-principles/australian-privacy-principles-guidelines</w:t>
            </w:r>
          </w:p>
        </w:tc>
      </w:tr>
      <w:tr>
        <w:trPr>
          <w:cantSplit/>
        </w:trPr>
        <w:tc>
          <w:tcPr>
            <w:tcW w:type="dxa" w:w="1417"/>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4"/>
              </w:rPr>
              <w:t>Brazil</w:t>
            </w:r>
          </w:p>
        </w:tc>
        <w:tc>
          <w:tcPr>
            <w:tcW w:type="dxa" w:w="4082"/>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Autoridade Nacional de Proteção de Dados, LGPD and international-transfer regulation</w:t>
            </w:r>
          </w:p>
        </w:tc>
        <w:tc>
          <w:tcPr>
            <w:tcW w:type="dxa" w:w="4706"/>
            <w:vAlign w:val="center"/>
            <w:tcMar>
              <w:top w:w="70" w:type="dxa"/>
              <w:start w:w="90" w:type="dxa"/>
              <w:bottom w:w="70" w:type="dxa"/>
              <w:end w:w="90" w:type="dxa"/>
            </w:tcMar>
          </w:tcPr>
          <w:p>
            <w:pPr>
              <w:spacing w:before="0" w:after="0" w:line="240" w:lineRule="auto"/>
            </w:pPr>
            <w:r/>
            <w:r>
              <w:rPr>
                <w:rFonts w:ascii="Aptos" w:hAnsi="Aptos"/>
                <w:b w:val="0"/>
                <w:i w:val="0"/>
                <w:color w:val="22211E"/>
                <w:sz w:val="14"/>
              </w:rPr>
              <w:t>https://www.gov.br/anpd/pt-br/assuntos/assuntos-internacionais/transferencia-internacional-de-dados/international-affairs</w:t>
            </w:r>
          </w:p>
        </w:tc>
      </w:tr>
    </w:tbl>
    <w:p>
      <w:pPr>
        <w:pStyle w:val="Heading2"/>
        <w:keepNext/>
      </w:pPr>
      <w:r>
        <w:t>Review notes</w:t>
      </w:r>
    </w:p>
    <w:p>
      <w:pPr>
        <w:pStyle w:val="ListBullet"/>
        <w:spacing w:after="60" w:line="245" w:lineRule="auto"/>
        <w:ind w:left="312" w:hanging="159"/>
      </w:pPr>
      <w:r>
        <w:rPr>
          <w:rFonts w:ascii="Aptos" w:hAnsi="Aptos"/>
          <w:b w:val="0"/>
          <w:i w:val="0"/>
          <w:color w:val="22211E"/>
          <w:sz w:val="16"/>
        </w:rPr>
        <w:t>India’s 2025 Rules use staged commencement. The applicable effective provisions must be confirmed at activation and during annual review.</w:t>
      </w:r>
    </w:p>
    <w:p>
      <w:pPr>
        <w:pStyle w:val="ListBullet"/>
        <w:spacing w:after="60" w:line="245" w:lineRule="auto"/>
        <w:ind w:left="312" w:hanging="159"/>
      </w:pPr>
      <w:r>
        <w:rPr>
          <w:rFonts w:ascii="Aptos" w:hAnsi="Aptos"/>
          <w:b w:val="0"/>
          <w:i w:val="0"/>
          <w:color w:val="22211E"/>
          <w:sz w:val="16"/>
        </w:rPr>
        <w:t>UK guidance is being updated following legislative change. The current UK transfer and processor requirements must be confirmed for the execution date.</w:t>
      </w:r>
    </w:p>
    <w:p>
      <w:pPr>
        <w:pStyle w:val="ListBullet"/>
        <w:spacing w:after="60" w:line="245" w:lineRule="auto"/>
        <w:ind w:left="312" w:hanging="159"/>
      </w:pPr>
      <w:r>
        <w:rPr>
          <w:rFonts w:ascii="Aptos" w:hAnsi="Aptos"/>
          <w:b w:val="0"/>
          <w:i w:val="0"/>
          <w:color w:val="22211E"/>
          <w:sz w:val="16"/>
        </w:rPr>
        <w:t>California applicability depends on statutory thresholds, role and activity. The service-provider or contractor terms apply only where the CCPA relationship is established.</w:t>
      </w:r>
    </w:p>
    <w:p>
      <w:pPr>
        <w:pStyle w:val="ListBullet"/>
        <w:spacing w:after="60" w:line="245" w:lineRule="auto"/>
        <w:ind w:left="312" w:hanging="159"/>
      </w:pPr>
      <w:r>
        <w:rPr>
          <w:rFonts w:ascii="Aptos" w:hAnsi="Aptos"/>
          <w:b w:val="0"/>
          <w:i w:val="0"/>
          <w:color w:val="22211E"/>
          <w:sz w:val="16"/>
        </w:rPr>
        <w:t>International transfer tools and adequacy decisions can change. The selected mechanism must be current for each route in Schedule 3.</w:t>
      </w:r>
    </w:p>
    <w:p>
      <w:pPr>
        <w:pStyle w:val="ListBullet"/>
        <w:spacing w:after="60" w:line="245" w:lineRule="auto"/>
        <w:ind w:left="312" w:hanging="159"/>
      </w:pPr>
      <w:r>
        <w:rPr>
          <w:rFonts w:ascii="Aptos" w:hAnsi="Aptos"/>
          <w:b w:val="0"/>
          <w:i w:val="0"/>
          <w:color w:val="22211E"/>
          <w:sz w:val="16"/>
        </w:rPr>
        <w:t>This baseline does not replace local legal review. Local counsel should approve the jurisdiction schedule and any sector-specific addendum before live collection.</w:t>
      </w:r>
    </w:p>
    <w:p>
      <w:pPr>
        <w:pStyle w:val="Heading2"/>
        <w:keepNext/>
      </w:pPr>
      <w:r>
        <w:t>Document control</w:t>
      </w:r>
    </w:p>
    <w:tbl>
      <w:tblPr>
        <w:tblStyle w:val="TableGrid"/>
        <w:tblW w:type="auto" w:w="0"/>
        <w:jc w:val="center"/>
        <w:tblLayout w:type="fixed"/>
        <w:tblLook w:firstColumn="1" w:firstRow="1" w:lastColumn="0" w:lastRow="0" w:noHBand="0" w:noVBand="1" w:val="04A0"/>
      </w:tblPr>
      <w:tblGrid>
        <w:gridCol w:w="2030"/>
        <w:gridCol w:w="2030"/>
        <w:gridCol w:w="2030"/>
        <w:gridCol w:w="2030"/>
        <w:gridCol w:w="2030"/>
      </w:tblGrid>
      <w:tr>
        <w:trPr>
          <w:tblHeader w:val="true"/>
        </w:trPr>
        <w:tc>
          <w:tcPr>
            <w:tcW w:type="dxa" w:w="1134"/>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Version</w:t>
            </w:r>
          </w:p>
        </w:tc>
        <w:tc>
          <w:tcPr>
            <w:tcW w:type="dxa" w:w="170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Date</w:t>
            </w:r>
          </w:p>
        </w:tc>
        <w:tc>
          <w:tcPr>
            <w:tcW w:type="dxa" w:w="255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Owner</w:t>
            </w:r>
          </w:p>
        </w:tc>
        <w:tc>
          <w:tcPr>
            <w:tcW w:type="dxa" w:w="3118"/>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Change</w:t>
            </w:r>
          </w:p>
        </w:tc>
        <w:tc>
          <w:tcPr>
            <w:tcW w:type="dxa" w:w="1701"/>
            <w:vAlign w:val="center"/>
            <w:tcMar>
              <w:top w:w="70" w:type="dxa"/>
              <w:start w:w="90" w:type="dxa"/>
              <w:bottom w:w="70" w:type="dxa"/>
              <w:end w:w="90" w:type="dxa"/>
            </w:tcMar>
            <w:shd w:fill="22211E"/>
          </w:tcPr>
          <w:p>
            <w:pPr>
              <w:spacing w:before="0" w:after="0" w:line="240" w:lineRule="auto"/>
              <w:jc w:val="center"/>
            </w:pPr>
            <w:r/>
            <w:r>
              <w:rPr>
                <w:rFonts w:ascii="Aptos" w:hAnsi="Aptos"/>
                <w:b/>
                <w:i w:val="0"/>
                <w:color w:val="FFFFFF"/>
                <w:sz w:val="15"/>
              </w:rPr>
              <w:t>Approval</w:t>
            </w:r>
          </w:p>
        </w:tc>
      </w:tr>
      <w:tr>
        <w:trPr>
          <w:cantSplit/>
        </w:trPr>
        <w:tc>
          <w:tcPr>
            <w:tcW w:type="dxa" w:w="113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t>0.1</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1 October 2026</w:t>
            </w:r>
          </w:p>
        </w:tc>
        <w:tc>
          <w:tcPr>
            <w:tcW w:type="dxa" w:w="2551"/>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Enterprise Financial Resilience Project</w:t>
            </w:r>
          </w:p>
        </w:tc>
        <w:tc>
          <w:tcPr>
            <w:tcW w:type="dxa" w:w="3118"/>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Initial client DCA baseline</w:t>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5"/>
              </w:rPr>
              <w:t>Draft for review</w:t>
            </w:r>
          </w:p>
        </w:tc>
      </w:tr>
      <w:tr>
        <w:trPr>
          <w:cantSplit/>
        </w:trPr>
        <w:tc>
          <w:tcPr>
            <w:tcW w:type="dxa" w:w="113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5"/>
              </w:rPr>
            </w:r>
          </w:p>
        </w:tc>
        <w:tc>
          <w:tcPr>
            <w:tcW w:type="dxa" w:w="2551"/>
            <w:vAlign w:val="center"/>
            <w:tcMar>
              <w:top w:w="70" w:type="dxa"/>
              <w:start w:w="90" w:type="dxa"/>
              <w:bottom w:w="70" w:type="dxa"/>
              <w:end w:w="90" w:type="dxa"/>
            </w:tcMar>
          </w:tcPr>
          <w:p>
            <w:pPr>
              <w:spacing w:before="0" w:after="0" w:line="240" w:lineRule="auto"/>
            </w:pPr>
            <w:r/>
            <w:r>
              <w:rPr>
                <w:rFonts w:ascii="Aptos" w:hAnsi="Aptos"/>
                <w:b w:val="0"/>
                <w:i w:val="0"/>
                <w:color w:val="22211E"/>
                <w:sz w:val="15"/>
              </w:rPr>
            </w:r>
          </w:p>
        </w:tc>
        <w:tc>
          <w:tcPr>
            <w:tcW w:type="dxa" w:w="3118"/>
            <w:vAlign w:val="center"/>
            <w:tcMar>
              <w:top w:w="70" w:type="dxa"/>
              <w:start w:w="90" w:type="dxa"/>
              <w:bottom w:w="70" w:type="dxa"/>
              <w:end w:w="90" w:type="dxa"/>
            </w:tcMar>
          </w:tcPr>
          <w:p>
            <w:pPr>
              <w:spacing w:before="0" w:after="0" w:line="240" w:lineRule="auto"/>
            </w:pPr>
            <w:r/>
            <w:r>
              <w:rPr>
                <w:rFonts w:ascii="Aptos" w:hAnsi="Aptos"/>
                <w:b w:val="0"/>
                <w:i w:val="0"/>
                <w:color w:val="22211E"/>
                <w:sz w:val="15"/>
              </w:rPr>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5"/>
              </w:rPr>
            </w:r>
          </w:p>
        </w:tc>
      </w:tr>
      <w:tr>
        <w:trPr>
          <w:cantSplit/>
        </w:trPr>
        <w:tc>
          <w:tcPr>
            <w:tcW w:type="dxa" w:w="1134"/>
            <w:vAlign w:val="center"/>
            <w:tcMar>
              <w:top w:w="70" w:type="dxa"/>
              <w:start w:w="90" w:type="dxa"/>
              <w:bottom w:w="70" w:type="dxa"/>
              <w:end w:w="90" w:type="dxa"/>
            </w:tcMar>
            <w:shd w:fill="F5F2EB"/>
          </w:tcPr>
          <w:p>
            <w:pPr>
              <w:spacing w:before="0" w:after="0" w:line="240" w:lineRule="auto"/>
            </w:pPr>
            <w:r/>
            <w:r>
              <w:rPr>
                <w:rFonts w:ascii="Aptos" w:hAnsi="Aptos"/>
                <w:b w:val="0"/>
                <w:i w:val="0"/>
                <w:color w:val="22211E"/>
                <w:sz w:val="15"/>
              </w:rPr>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5"/>
              </w:rPr>
            </w:r>
          </w:p>
        </w:tc>
        <w:tc>
          <w:tcPr>
            <w:tcW w:type="dxa" w:w="2551"/>
            <w:vAlign w:val="center"/>
            <w:tcMar>
              <w:top w:w="70" w:type="dxa"/>
              <w:start w:w="90" w:type="dxa"/>
              <w:bottom w:w="70" w:type="dxa"/>
              <w:end w:w="90" w:type="dxa"/>
            </w:tcMar>
          </w:tcPr>
          <w:p>
            <w:pPr>
              <w:spacing w:before="0" w:after="0" w:line="240" w:lineRule="auto"/>
            </w:pPr>
            <w:r/>
            <w:r>
              <w:rPr>
                <w:rFonts w:ascii="Aptos" w:hAnsi="Aptos"/>
                <w:b w:val="0"/>
                <w:i w:val="0"/>
                <w:color w:val="22211E"/>
                <w:sz w:val="15"/>
              </w:rPr>
            </w:r>
          </w:p>
        </w:tc>
        <w:tc>
          <w:tcPr>
            <w:tcW w:type="dxa" w:w="3118"/>
            <w:vAlign w:val="center"/>
            <w:tcMar>
              <w:top w:w="70" w:type="dxa"/>
              <w:start w:w="90" w:type="dxa"/>
              <w:bottom w:w="70" w:type="dxa"/>
              <w:end w:w="90" w:type="dxa"/>
            </w:tcMar>
          </w:tcPr>
          <w:p>
            <w:pPr>
              <w:spacing w:before="0" w:after="0" w:line="240" w:lineRule="auto"/>
            </w:pPr>
            <w:r/>
            <w:r>
              <w:rPr>
                <w:rFonts w:ascii="Aptos" w:hAnsi="Aptos"/>
                <w:b w:val="0"/>
                <w:i w:val="0"/>
                <w:color w:val="22211E"/>
                <w:sz w:val="15"/>
              </w:rPr>
            </w:r>
          </w:p>
        </w:tc>
        <w:tc>
          <w:tcPr>
            <w:tcW w:type="dxa" w:w="1701"/>
            <w:vAlign w:val="center"/>
            <w:tcMar>
              <w:top w:w="70" w:type="dxa"/>
              <w:start w:w="90" w:type="dxa"/>
              <w:bottom w:w="70" w:type="dxa"/>
              <w:end w:w="90" w:type="dxa"/>
            </w:tcMar>
          </w:tcPr>
          <w:p>
            <w:pPr>
              <w:spacing w:before="0" w:after="0" w:line="240" w:lineRule="auto"/>
            </w:pPr>
            <w:r/>
            <w:r>
              <w:rPr>
                <w:rFonts w:ascii="Aptos" w:hAnsi="Aptos"/>
                <w:b w:val="0"/>
                <w:i w:val="0"/>
                <w:color w:val="22211E"/>
                <w:sz w:val="15"/>
              </w:rPr>
            </w:r>
          </w:p>
        </w:tc>
      </w:tr>
    </w:tbl>
    <w:sectPr w:rsidR="00FC693F" w:rsidRPr="0006063C" w:rsidSect="00034616">
      <w:headerReference w:type="default" r:id="rId9"/>
      <w:footerReference w:type="default" r:id="rId10"/>
      <w:pgSz w:w="11906" w:h="16838"/>
      <w:pgMar w:top="765" w:right="879" w:bottom="709" w:left="879" w:header="340"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66635D"/>
        <w:sz w:val="14"/>
      </w:rPr>
      <w:t xml:space="preserve">DCA DRAFT   |   </w:t>
    </w:r>
    <w:r>
      <w:rPr>
        <w:rFonts w:ascii="Aptos" w:hAnsi="Aptos"/>
        <w:b w:val="0"/>
        <w:i w:val="0"/>
        <w:color w:val="66635D"/>
        <w:sz w:val="1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ptos" w:hAnsi="Aptos"/>
        <w:b/>
        <w:i w:val="0"/>
        <w:color w:val="66635D"/>
        <w:sz w:val="14"/>
      </w:rPr>
      <w:t>ENTERPRISE FINANCIAL RESILIENCE   |   DATA COLLECTION AND ACCESS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11E"/>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8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Collection and Access Agreement</dc:title>
  <dc:subject>Online data collection and access terms for the Enterprise Financial Resilience and Control Operating System</dc:subject>
  <dc:creator>Enterprise Financial Resilience Project</dc:creator>
  <cp:keywords>data collection, privacy, DPDP, GDPR, CCPA, PDPA, consultant, enterprise risk</cp:keywords>
  <dc:description>generated by python-docx</dc:description>
  <cp:lastModifiedBy/>
  <cp:revision>1</cp:revision>
  <dcterms:created xsi:type="dcterms:W3CDTF">2013-12-23T23:15:00Z</dcterms:created>
  <dcterms:modified xsi:type="dcterms:W3CDTF">2013-12-23T23:15:00Z</dcterms:modified>
  <cp:category/>
</cp:coreProperties>
</file>