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Ideation Phase</w:t>
      </w:r>
    </w:p>
    <w:p>
      <w:pPr>
        <w:spacing w:after="200"/>
      </w:pPr>
      <w:r>
        <w:rPr>
          <w:b/>
          <w:bCs/>
          <w:sz w:val="30"/>
          <w:szCs w:val="30"/>
        </w:rPr>
        <w:t xml:space="preserve">Empathize &amp; Discover — 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00"/>
              <w:bottom w:type="dxa" w:w="80"/>
              <w:right w:type="dxa" w:w="100"/>
            </w:tcMar>
            <w:vAlign w:val="center"/>
          </w:tcPr>
          <w:p>
            <w:r>
              <w:rPr>
                <w:b/>
                <w:bCs/>
                <w:sz w:val="20"/>
                <w:szCs w:val="20"/>
              </w:rPr>
              <w:t xml:space="preserve">Date</w:t>
            </w:r>
          </w:p>
        </w:tc>
        <w:tc>
          <w:tcPr>
            <w:tcW w:type="dxa" w:w="6400"/>
            <w:tcMar>
              <w:top w:type="dxa" w:w="80"/>
              <w:left w:type="dxa" w:w="100"/>
              <w:bottom w:type="dxa" w:w="80"/>
              <w:right w:type="dxa" w:w="100"/>
            </w:tcMar>
            <w:vAlign w:val="center"/>
          </w:tcPr>
          <w:p>
            <w:r>
              <w:rPr>
                <w:b w:val="false"/>
                <w:bCs w:val="false"/>
                <w:sz w:val="20"/>
                <w:szCs w:val="20"/>
              </w:rPr>
              <w:t xml:space="preserve">13 July 2026</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ID</w:t>
            </w:r>
          </w:p>
        </w:tc>
        <w:tc>
          <w:tcPr>
            <w:tcW w:type="dxa" w:w="6400"/>
            <w:tcMar>
              <w:top w:type="dxa" w:w="80"/>
              <w:left w:type="dxa" w:w="100"/>
              <w:bottom w:type="dxa" w:w="80"/>
              <w:right w:type="dxa" w:w="100"/>
            </w:tcMar>
            <w:vAlign w:val="center"/>
          </w:tcPr>
          <w:p>
            <w:r>
              <w:rPr>
                <w:b w:val="false"/>
                <w:bCs w:val="false"/>
                <w:sz w:val="20"/>
                <w:szCs w:val="20"/>
              </w:rPr>
              <w:t>SWTID-2026-5348</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Project Name</w:t>
            </w:r>
          </w:p>
        </w:tc>
        <w:tc>
          <w:tcPr>
            <w:tcW w:type="dxa" w:w="6400"/>
            <w:tcMar>
              <w:top w:type="dxa" w:w="80"/>
              <w:left w:type="dxa" w:w="100"/>
              <w:bottom w:type="dxa" w:w="80"/>
              <w:right w:type="dxa" w:w="100"/>
            </w:tcMar>
            <w:vAlign w:val="center"/>
          </w:tcPr>
          <w:p>
            <w:r>
              <w:rPr>
                <w:b w:val="false"/>
                <w:bCs w:val="false"/>
                <w:sz w:val="20"/>
                <w:szCs w:val="20"/>
              </w:rPr>
              <w:t xml:space="preserve">Credit Card Approval Prediction System</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Members</w:t>
            </w:r>
          </w:p>
        </w:tc>
        <w:tc>
          <w:tcPr>
            <w:tcW w:type="dxa" w:w="6400"/>
            <w:tcMar>
              <w:top w:type="dxa" w:w="80"/>
              <w:left w:type="dxa" w:w="100"/>
              <w:bottom w:type="dxa" w:w="80"/>
              <w:right w:type="dxa" w:w="100"/>
            </w:tcMar>
            <w:vAlign w:val="center"/>
          </w:tcPr>
          <w:p>
            <w:r>
              <w:rPr>
                <w:b w:val="false"/>
                <w:bCs w:val="false"/>
                <w:sz w:val="20"/>
                <w:szCs w:val="20"/>
              </w:rPr>
              <w:t xml:space="preserve">Koduru Jagadeesh Babu, Shaik Shameem Akther, Kunchala Srinadh, Shaik Nazeer</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Maximum Marks</w:t>
            </w:r>
          </w:p>
        </w:tc>
        <w:tc>
          <w:tcPr>
            <w:tcW w:type="dxa" w:w="6400"/>
            <w:tcMar>
              <w:top w:type="dxa" w:w="80"/>
              <w:left w:type="dxa" w:w="100"/>
              <w:bottom w:type="dxa" w:w="80"/>
              <w:right w:type="dxa" w:w="100"/>
            </w:tcMar>
            <w:vAlign w:val="center"/>
          </w:tcPr>
          <w:p>
            <w:r>
              <w:rPr>
                <w:b w:val="false"/>
                <w:bCs w:val="false"/>
                <w:sz w:val="20"/>
                <w:szCs w:val="20"/>
              </w:rPr>
              <w:t xml:space="preserve">4 Marks</w:t>
            </w:r>
          </w:p>
        </w:tc>
      </w:tr>
    </w:tbl>
    <w:p>
      <w:pPr>
        <w:spacing w:after="150"/>
      </w:pPr>
    </w:p>
    <w:p>
      <w:pPr>
        <w:spacing w:after="120"/>
      </w:pPr>
      <w:r>
        <w:t xml:space="preserve">Applicants often face delays and uncertainty during the credit card approval process because of manual verification and unclear eligibility rules. The Credit Card Approval Prediction system uses machine learning to analyze applicant information and return an instant prediction, helping both applicants and financial institutions make faster, better-informed decisions.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90"/>
              <w:bottom w:type="dxa" w:w="70"/>
              <w:right w:type="dxa" w:w="90"/>
            </w:tcMar>
            <w:vAlign w:val="center"/>
          </w:tcPr>
          <w:p>
            <w:r>
              <w:rPr>
                <w:b/>
                <w:bCs/>
                <w:color w:val="FFFFFF"/>
                <w:sz w:val="19"/>
                <w:szCs w:val="19"/>
              </w:rPr>
              <w:t xml:space="preserve">Quadrant</w:t>
            </w:r>
          </w:p>
        </w:tc>
        <w:tc>
          <w:tcPr>
            <w:tcW w:type="dxa" w:w="6800"/>
            <w:shd w:fill="1F3864" w:color="auto" w:val="clear"/>
            <w:tcMar>
              <w:top w:type="dxa" w:w="70"/>
              <w:left w:type="dxa" w:w="90"/>
              <w:bottom w:type="dxa" w:w="70"/>
              <w:right w:type="dxa" w:w="90"/>
            </w:tcMar>
            <w:vAlign w:val="center"/>
          </w:tcPr>
          <w:p>
            <w:r>
              <w:rPr>
                <w:b/>
                <w:bCs/>
                <w:color w:val="FFFFFF"/>
                <w:sz w:val="19"/>
                <w:szCs w:val="19"/>
              </w:rPr>
              <w:t xml:space="preserve">Applicant Perspective</w:t>
            </w:r>
          </w:p>
        </w:tc>
      </w:tr>
      <w:tr>
        <w:tc>
          <w:tcPr>
            <w:tcW w:type="dxa" w:w="2200"/>
            <w:tcMar>
              <w:top w:type="dxa" w:w="70"/>
              <w:left w:type="dxa" w:w="90"/>
              <w:bottom w:type="dxa" w:w="70"/>
              <w:right w:type="dxa" w:w="90"/>
            </w:tcMar>
            <w:vAlign w:val="center"/>
          </w:tcPr>
          <w:p>
            <w:r>
              <w:rPr>
                <w:b w:val="false"/>
                <w:bCs w:val="false"/>
                <w:color w:val="000000"/>
                <w:sz w:val="19"/>
                <w:szCs w:val="19"/>
              </w:rPr>
              <w:t xml:space="preserve">Think &amp; Feel</w:t>
            </w:r>
          </w:p>
        </w:tc>
        <w:tc>
          <w:tcPr>
            <w:tcW w:type="dxa" w:w="6800"/>
            <w:tcMar>
              <w:top w:type="dxa" w:w="70"/>
              <w:left w:type="dxa" w:w="90"/>
              <w:bottom w:type="dxa" w:w="70"/>
              <w:right w:type="dxa" w:w="90"/>
            </w:tcMar>
            <w:vAlign w:val="center"/>
          </w:tcPr>
          <w:p>
            <w:r>
              <w:rPr>
                <w:b w:val="false"/>
                <w:bCs w:val="false"/>
                <w:color w:val="000000"/>
                <w:sz w:val="19"/>
                <w:szCs w:val="19"/>
              </w:rPr>
              <w:t xml:space="preserve">Wants a quick decision; concerned about eligibility; expects a fair, transparent evaluation</w:t>
            </w:r>
          </w:p>
        </w:tc>
      </w:tr>
      <w:tr>
        <w:tc>
          <w:tcPr>
            <w:tcW w:type="dxa" w:w="2200"/>
            <w:tcMar>
              <w:top w:type="dxa" w:w="70"/>
              <w:left w:type="dxa" w:w="90"/>
              <w:bottom w:type="dxa" w:w="70"/>
              <w:right w:type="dxa" w:w="90"/>
            </w:tcMar>
            <w:vAlign w:val="center"/>
          </w:tcPr>
          <w:p>
            <w:r>
              <w:rPr>
                <w:b w:val="false"/>
                <w:bCs w:val="false"/>
                <w:color w:val="000000"/>
                <w:sz w:val="19"/>
                <w:szCs w:val="19"/>
              </w:rPr>
              <w:t xml:space="preserve">See</w:t>
            </w:r>
          </w:p>
        </w:tc>
        <w:tc>
          <w:tcPr>
            <w:tcW w:type="dxa" w:w="6800"/>
            <w:tcMar>
              <w:top w:type="dxa" w:w="70"/>
              <w:left w:type="dxa" w:w="90"/>
              <w:bottom w:type="dxa" w:w="70"/>
              <w:right w:type="dxa" w:w="90"/>
            </w:tcMar>
            <w:vAlign w:val="center"/>
          </w:tcPr>
          <w:p>
            <w:r>
              <w:rPr>
                <w:b w:val="false"/>
                <w:bCs w:val="false"/>
                <w:color w:val="000000"/>
                <w:sz w:val="19"/>
                <w:szCs w:val="19"/>
              </w:rPr>
              <w:t xml:space="preserve">A long application process; unclear eligibility rules; multiple documentation requirements</w:t>
            </w:r>
          </w:p>
        </w:tc>
      </w:tr>
      <w:tr>
        <w:tc>
          <w:tcPr>
            <w:tcW w:type="dxa" w:w="2200"/>
            <w:tcMar>
              <w:top w:type="dxa" w:w="70"/>
              <w:left w:type="dxa" w:w="90"/>
              <w:bottom w:type="dxa" w:w="70"/>
              <w:right w:type="dxa" w:w="90"/>
            </w:tcMar>
            <w:vAlign w:val="center"/>
          </w:tcPr>
          <w:p>
            <w:r>
              <w:rPr>
                <w:b w:val="false"/>
                <w:bCs w:val="false"/>
                <w:color w:val="000000"/>
                <w:sz w:val="19"/>
                <w:szCs w:val="19"/>
              </w:rPr>
              <w:t xml:space="preserve">Hear</w:t>
            </w:r>
          </w:p>
        </w:tc>
        <w:tc>
          <w:tcPr>
            <w:tcW w:type="dxa" w:w="6800"/>
            <w:tcMar>
              <w:top w:type="dxa" w:w="70"/>
              <w:left w:type="dxa" w:w="90"/>
              <w:bottom w:type="dxa" w:w="70"/>
              <w:right w:type="dxa" w:w="90"/>
            </w:tcMar>
            <w:vAlign w:val="center"/>
          </w:tcPr>
          <w:p>
            <w:r>
              <w:rPr>
                <w:b w:val="false"/>
                <w:bCs w:val="false"/>
                <w:color w:val="000000"/>
                <w:sz w:val="19"/>
                <w:szCs w:val="19"/>
              </w:rPr>
              <w:t xml:space="preserve">Advice from bank staff; mixed reviews from other applicants; general financial guidance</w:t>
            </w:r>
          </w:p>
        </w:tc>
      </w:tr>
      <w:tr>
        <w:tc>
          <w:tcPr>
            <w:tcW w:type="dxa" w:w="2200"/>
            <w:tcMar>
              <w:top w:type="dxa" w:w="70"/>
              <w:left w:type="dxa" w:w="90"/>
              <w:bottom w:type="dxa" w:w="70"/>
              <w:right w:type="dxa" w:w="90"/>
            </w:tcMar>
            <w:vAlign w:val="center"/>
          </w:tcPr>
          <w:p>
            <w:r>
              <w:rPr>
                <w:b w:val="false"/>
                <w:bCs w:val="false"/>
                <w:color w:val="000000"/>
                <w:sz w:val="19"/>
                <w:szCs w:val="19"/>
              </w:rPr>
              <w:t xml:space="preserve">Say &amp; Do</w:t>
            </w:r>
          </w:p>
        </w:tc>
        <w:tc>
          <w:tcPr>
            <w:tcW w:type="dxa" w:w="6800"/>
            <w:tcMar>
              <w:top w:type="dxa" w:w="70"/>
              <w:left w:type="dxa" w:w="90"/>
              <w:bottom w:type="dxa" w:w="70"/>
              <w:right w:type="dxa" w:w="90"/>
            </w:tcMar>
            <w:vAlign w:val="center"/>
          </w:tcPr>
          <w:p>
            <w:r>
              <w:rPr>
                <w:b w:val="false"/>
                <w:bCs w:val="false"/>
                <w:color w:val="000000"/>
                <w:sz w:val="19"/>
                <w:szCs w:val="19"/>
              </w:rPr>
              <w:t xml:space="preserve">Fill out the application form; submit financial details; wait for a decision</w:t>
            </w:r>
          </w:p>
        </w:tc>
      </w:tr>
      <w:tr>
        <w:tc>
          <w:tcPr>
            <w:tcW w:type="dxa" w:w="2200"/>
            <w:tcMar>
              <w:top w:type="dxa" w:w="70"/>
              <w:left w:type="dxa" w:w="90"/>
              <w:bottom w:type="dxa" w:w="70"/>
              <w:right w:type="dxa" w:w="90"/>
            </w:tcMar>
            <w:vAlign w:val="center"/>
          </w:tcPr>
          <w:p>
            <w:r>
              <w:rPr>
                <w:b w:val="false"/>
                <w:bCs w:val="false"/>
                <w:color w:val="000000"/>
                <w:sz w:val="19"/>
                <w:szCs w:val="19"/>
              </w:rPr>
              <w:t xml:space="preserve">Pain</w:t>
            </w:r>
          </w:p>
        </w:tc>
        <w:tc>
          <w:tcPr>
            <w:tcW w:type="dxa" w:w="6800"/>
            <w:tcMar>
              <w:top w:type="dxa" w:w="70"/>
              <w:left w:type="dxa" w:w="90"/>
              <w:bottom w:type="dxa" w:w="70"/>
              <w:right w:type="dxa" w:w="90"/>
            </w:tcMar>
            <w:vAlign w:val="center"/>
          </w:tcPr>
          <w:p>
            <w:r>
              <w:rPr>
                <w:b w:val="false"/>
                <w:bCs w:val="false"/>
                <w:color w:val="000000"/>
                <w:sz w:val="19"/>
                <w:szCs w:val="19"/>
              </w:rPr>
              <w:t xml:space="preserve">Long waiting time; risk of rejection after the wait; unclear eligibility criteria</w:t>
            </w:r>
          </w:p>
        </w:tc>
      </w:tr>
      <w:tr>
        <w:tc>
          <w:tcPr>
            <w:tcW w:type="dxa" w:w="2200"/>
            <w:tcMar>
              <w:top w:type="dxa" w:w="70"/>
              <w:left w:type="dxa" w:w="90"/>
              <w:bottom w:type="dxa" w:w="70"/>
              <w:right w:type="dxa" w:w="90"/>
            </w:tcMar>
            <w:vAlign w:val="center"/>
          </w:tcPr>
          <w:p>
            <w:r>
              <w:rPr>
                <w:b w:val="false"/>
                <w:bCs w:val="false"/>
                <w:color w:val="000000"/>
                <w:sz w:val="19"/>
                <w:szCs w:val="19"/>
              </w:rPr>
              <w:t xml:space="preserve">Gain</w:t>
            </w:r>
          </w:p>
        </w:tc>
        <w:tc>
          <w:tcPr>
            <w:tcW w:type="dxa" w:w="6800"/>
            <w:tcMar>
              <w:top w:type="dxa" w:w="70"/>
              <w:left w:type="dxa" w:w="90"/>
              <w:bottom w:type="dxa" w:w="70"/>
              <w:right w:type="dxa" w:w="90"/>
            </w:tcMar>
            <w:vAlign w:val="center"/>
          </w:tcPr>
          <w:p>
            <w:r>
              <w:rPr>
                <w:b w:val="false"/>
                <w:bCs w:val="false"/>
                <w:color w:val="000000"/>
                <w:sz w:val="19"/>
                <w:szCs w:val="19"/>
              </w:rPr>
              <w:t xml:space="preserve">An instant prediction; faster processing; a clearer sense of where they stand</w:t>
            </w:r>
          </w:p>
        </w:tc>
      </w:tr>
    </w:tbl>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2026-07-13T11:26:21.772Z</dcterms:created>
  <dcterms:modified xsi:type="dcterms:W3CDTF">2026-07-13T11:26:21.772Z</dcterms:modified>
</cp:coreProperties>
</file>

<file path=docProps/custom.xml><?xml version="1.0" encoding="utf-8"?>
<Properties xmlns="http://schemas.openxmlformats.org/officeDocument/2006/custom-properties" xmlns:vt="http://schemas.openxmlformats.org/officeDocument/2006/docPropsVTypes"/>
</file>