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Solution architecture bridges the gap between the business problem (slow, manual credit approval) and the technology solution (an ML-backed Flask application). It defines the structure, components, and data flow of the system.</w:t>
      </w:r>
    </w:p>
    <w:p>
      <w:pPr>
        <w:pStyle w:val="Heading2"/>
        <w:spacing w:after="120" w:before="260"/>
      </w:pPr>
      <w:r>
        <w:t xml:space="preserve">Architecture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Layer: HTML/CSS/JavaScript form and results dashboard rendered by templates/index.html and static/js/script.js.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Layer: Flask app (app.py) exposing GET / (UI), GET /api/meta (dropdown options + metrics), GET /api/submissions (history), and POST /api/predict (prediction).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Layer: a fitted scikit-learn Pipeline (model/credit_model.joblib) trained by model/train_model.py, together with metrics.json and feature_meta.json.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Layer: data/credit_card_approval.csv (training data) and data/submissions.json (submission log).</w:t>
      </w:r>
    </w:p>
    <w:p>
      <w:pPr>
        <w:spacing w:after="150"/>
      </w:pPr>
    </w:p>
    <w:p>
      <w:pPr>
        <w:pStyle w:val="Heading2"/>
        <w:spacing w:after="120" w:before="260"/>
      </w:pPr>
      <w:r>
        <w:t xml:space="preserve">Data Flow</w:t>
      </w:r>
    </w:p>
    <w:p>
      <w:pPr>
        <w:spacing w:after="120"/>
      </w:pPr>
      <w:r>
        <w:t xml:space="preserve">Browser form → POST /api/predict (JSON) → feature engineering &amp; encoding → scikit-learn pipeline → prediction + probability → JSON response → rendered on the UI → submission appended to the local log.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2026-07-13T11:26:22.169Z</dcterms:created>
  <dcterms:modified xsi:type="dcterms:W3CDTF">2026-07-13T11:26:22.169Z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