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EMPLOYEE ATTRITION ANALYSIS PROJECT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20 Business Insights &amp; Recommendations</w:t>
      </w:r>
    </w:p>
    <w:p>
      <w:pPr>
        <w:pBdr>
          <w:bottom w:val="single" w:color="2E75B6" w:sz="12" w:space="6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Phase 8: Final Business Insights Summary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Introduction</w:t>
      </w:r>
    </w:p>
    <w:p>
      <w:pPr>
        <w:spacing w:after="150" w:line="300"/>
      </w:pPr>
      <w:r>
        <w:rPr>
          <w:rFonts w:ascii="Calibri" w:cs="Calibri" w:eastAsia="Calibri" w:hAnsi="Calibri"/>
          <w:sz w:val="21"/>
          <w:szCs w:val="21"/>
        </w:rPr>
        <w:t xml:space="preserve">The following 20 insights synthesize every phase of this project — data cleaning, exploratory analysis, segment-wise attrition rates, HR KPIs, and root-cause analysis — into a single, decision-ready summary. Each insight follows the same structure: what the data shows (Observation), why it matters to the business (Business Impact), and what action to take (Recommendation). Priority tags (HIGH PRIORITY / MODERATE / MONITOR) indicate where to focus first.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The 20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shd w:fill="1F386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INSIGHT 1: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OverTime is the single strongest attrition driver</w:t>
            </w:r>
            <w:r>
              <w:rPr>
                <w:rFonts w:ascii="Calibri" w:cs="Calibri" w:eastAsia="Calibri" w:hAnsi="Calibri"/>
                <w:b/>
                <w:bCs/>
                <w:color w:val="FFB3A7"/>
                <w:sz w:val="16"/>
                <w:szCs w:val="16"/>
              </w:rPr>
              <w:t xml:space="preserve">   [HIGH PRIORITY]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Employees who work overtime leave at 30.53%, nearly 3x the rate of those who don't (10.44%).</w:t>
            </w:r>
          </w:p>
        </w:tc>
      </w:tr>
      <w:tr>
        <w:tc>
          <w:tcPr>
            <w:tcW w:type="dxa" w:w="1800"/>
            <w:shd w:fill="F7FAFD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shd w:fill="F7FAFD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Overtime is functioning as a burnout signal. Because it also compounds with other factors (new hires + overtime reach 51% attrition), it is the highest-leverage lever in the entire dataset — likely reflecting understaffing or workload imbalance in specific teams.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 workload distribution and staffing levels in high-overtime teams (especially Sales). Consider caps on sustained overtime, temporary staffing support, or overtime-linked pulse check-ins with managers.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shd w:fill="1F386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INSIGHT 2: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Early tenure (0-2 years) is the highest-risk period</w:t>
            </w:r>
            <w:r>
              <w:rPr>
                <w:rFonts w:ascii="Calibri" w:cs="Calibri" w:eastAsia="Calibri" w:hAnsi="Calibri"/>
                <w:b/>
                <w:bCs/>
                <w:color w:val="FFB3A7"/>
                <w:sz w:val="16"/>
                <w:szCs w:val="16"/>
              </w:rPr>
              <w:t xml:space="preserve">   [HIGH PRIORITY]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Employees in their first two years leave at 29.8%, compared to just 6.7% for those with 11-20 years of service.</w:t>
            </w:r>
          </w:p>
        </w:tc>
      </w:tr>
      <w:tr>
        <w:tc>
          <w:tcPr>
            <w:tcW w:type="dxa" w:w="1800"/>
            <w:shd w:fill="F7FAFD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shd w:fill="F7FAFD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New hires represent the single largest recoverable segment — losing them early wastes the full cost of recruiting and onboarding before any productivity payback is realized.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Build a structured first-two-years retention program: 30/90/180-day check-ins, an assigned mentor, and clear early milestones to build engagement before the highest-risk window closes.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shd w:fill="1F386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INSIGHT 3: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Compensation is a strong, almost linear driver</w:t>
            </w:r>
            <w:r>
              <w:rPr>
                <w:rFonts w:ascii="Calibri" w:cs="Calibri" w:eastAsia="Calibri" w:hAnsi="Calibri"/>
                <w:b/>
                <w:bCs/>
                <w:color w:val="FFB3A7"/>
                <w:sz w:val="16"/>
                <w:szCs w:val="16"/>
              </w:rPr>
              <w:t xml:space="preserve">   [HIGH PRIORITY]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bottom salary quartile has a 29.27% attrition rate versus 10.33% for the top quartile; leavers average $4,787/month versus $6,833 for stayers.</w:t>
            </w:r>
          </w:p>
        </w:tc>
      </w:tr>
      <w:tr>
        <w:tc>
          <w:tcPr>
            <w:tcW w:type="dxa" w:w="1800"/>
            <w:shd w:fill="F7FAFD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shd w:fill="F7FAFD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Below-market pay in entry-level bands is likely pushing otherwise satisfied employees to leave for better offers elsewhere, particularly when combined with early tenure.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Conduct a market-rate compensation review focused specifically on entry-level and lower pay bands, where the attrition gap is largest and most correctable.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shd w:fill="1F386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INSIGHT 4: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Poor work-life balance nearly doubles attrition risk</w:t>
            </w:r>
            <w:r>
              <w:rPr>
                <w:rFonts w:ascii="Calibri" w:cs="Calibri" w:eastAsia="Calibri" w:hAnsi="Calibri"/>
                <w:b/>
                <w:bCs/>
                <w:color w:val="FFB3A7"/>
                <w:sz w:val="16"/>
                <w:szCs w:val="16"/>
              </w:rPr>
              <w:t xml:space="preserve">   [HIGH PRIORITY]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Employees with the lowest work-life balance rating leave at 31.3%, compared to 14.2% for those with the best rating.</w:t>
            </w:r>
          </w:p>
        </w:tc>
      </w:tr>
      <w:tr>
        <w:tc>
          <w:tcPr>
            <w:tcW w:type="dxa" w:w="1800"/>
            <w:shd w:fill="F7FAFD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shd w:fill="F7FAFD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Work-life balance is one of the few factors that is both strongly predictive and directly within the company's control through policy and workload design.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Treat a low work-life-balance score on engagement surveys as an individual flight-risk flag requiring manager follow-up, not just an aggregate statistic.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shd w:fill="1F386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INSIGHT 5: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Sales Representative is the highest-risk job role by far</w:t>
            </w:r>
            <w:r>
              <w:rPr>
                <w:rFonts w:ascii="Calibri" w:cs="Calibri" w:eastAsia="Calibri" w:hAnsi="Calibri"/>
                <w:b/>
                <w:bCs/>
                <w:color w:val="FFB3A7"/>
                <w:sz w:val="16"/>
                <w:szCs w:val="16"/>
              </w:rPr>
              <w:t xml:space="preserve">   [HIGH PRIORITY]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Sales Representatives leave at 39.76% — more than double the company average and roughly 16x the rate of Research Directors (2.5%).</w:t>
            </w:r>
          </w:p>
        </w:tc>
      </w:tr>
      <w:tr>
        <w:tc>
          <w:tcPr>
            <w:tcW w:type="dxa" w:w="1800"/>
            <w:shd w:fill="F7FAFD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shd w:fill="F7FAFD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This isn't just a seniority effect: other front-line, senior-adjacent roles (Managers, Healthcare Representatives) show far lower rates, meaning something role-specific (targets, compensation structure, client pressure) is driving this.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Commission a dedicated retention review for the Sales Representative role specifically — covering quota design, commission structure, manager support, and career pathing out of the role.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shd w:fill="1F386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INSIGHT 6: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Job and environment satisfaction show consistent, actionable gradients</w:t>
            </w:r>
            <w:r>
              <w:rPr>
                <w:rFonts w:ascii="Calibri" w:cs="Calibri" w:eastAsia="Calibri" w:hAnsi="Calibri"/>
                <w:b/>
                <w:bCs/>
                <w:color w:val="FFE3A3"/>
                <w:sz w:val="16"/>
                <w:szCs w:val="16"/>
              </w:rPr>
              <w:t xml:space="preserve">   [MODERATE]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Job Satisfaction attrition ranges from 22.8% (lowest) to 11.3% (highest); Environment Satisfaction ranges from 25.4% to 13.4%.</w:t>
            </w:r>
          </w:p>
        </w:tc>
      </w:tr>
      <w:tr>
        <w:tc>
          <w:tcPr>
            <w:tcW w:type="dxa" w:w="1800"/>
            <w:shd w:fill="F7FAFD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shd w:fill="F7FAFD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Unlike some factors (e.g. promotion recency), these behave exactly as intuition predicts — steadily improving — making them reliable, trustworthy signals rather than noisy correlations.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 regular pulse surveys to track these two scores at the individual and team level; treat consistently low scores as an early-warning system rather than only reviewing them annually.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shd w:fill="1F386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INSIGHT 7: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Sales and Human Resources departments carry elevated risk</w:t>
            </w:r>
            <w:r>
              <w:rPr>
                <w:rFonts w:ascii="Calibri" w:cs="Calibri" w:eastAsia="Calibri" w:hAnsi="Calibri"/>
                <w:b/>
                <w:bCs/>
                <w:color w:val="FFE3A3"/>
                <w:sz w:val="16"/>
                <w:szCs w:val="16"/>
              </w:rPr>
              <w:t xml:space="preserve">   [MODERATE]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Sales (20.63%) and Human Resources (19.05%) both exceed the company average, while Research &amp; Development sits lowest at 13.84% despite housing nearly two-thirds of the workforce.</w:t>
            </w:r>
          </w:p>
        </w:tc>
      </w:tr>
      <w:tr>
        <w:tc>
          <w:tcPr>
            <w:tcW w:type="dxa" w:w="1800"/>
            <w:shd w:fill="F7FAFD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shd w:fill="F7FAFD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R&amp;D's comparatively strong retention suggests existing practices there (team stability, career paths) are working and could offer a transferable model for Sales and HR.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Study what R&amp;D is doing differently (management style, career progression clarity, workload norms) and pilot those practices in Sales and HR.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shd w:fill="1F386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INSIGHT 8: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Single employees leave at roughly 2x the rate of married employees</w:t>
            </w:r>
            <w:r>
              <w:rPr>
                <w:rFonts w:ascii="Calibri" w:cs="Calibri" w:eastAsia="Calibri" w:hAnsi="Calibri"/>
                <w:b/>
                <w:bCs/>
                <w:color w:val="FFE3A3"/>
                <w:sz w:val="16"/>
                <w:szCs w:val="16"/>
              </w:rPr>
              <w:t xml:space="preserve">   [MODERATE]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Single employees show a 25.5% attrition rate versus 12.5% for married and 10.1% for divorced employees.</w:t>
            </w:r>
          </w:p>
        </w:tc>
      </w:tr>
      <w:tr>
        <w:tc>
          <w:tcPr>
            <w:tcW w:type="dxa" w:w="1800"/>
            <w:shd w:fill="F7FAFD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shd w:fill="F7FAFD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Single employees likely have fewer financial/household anchors and more career mobility, making them more receptive to outside offers — this is a demographic reality more than a fixable company issue.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Increase early engagement and career-growth conversations for single, typically younger employees, since generic company-wide policy changes are less likely to move this particular segment.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shd w:fill="1F386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INSIGHT 9: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Frequent business travel is linked to meaningfully higher attrition</w:t>
            </w:r>
            <w:r>
              <w:rPr>
                <w:rFonts w:ascii="Calibri" w:cs="Calibri" w:eastAsia="Calibri" w:hAnsi="Calibri"/>
                <w:b/>
                <w:bCs/>
                <w:color w:val="FFE3A3"/>
                <w:sz w:val="16"/>
                <w:szCs w:val="16"/>
              </w:rPr>
              <w:t xml:space="preserve">   [MODERATE]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Attrition rises steadily with travel frequency: 8.0% (non-travelers), 15.0% (rare travelers), 24.9% (frequent travelers).</w:t>
            </w:r>
          </w:p>
        </w:tc>
      </w:tr>
      <w:tr>
        <w:tc>
          <w:tcPr>
            <w:tcW w:type="dxa" w:w="1800"/>
            <w:shd w:fill="F7FAFD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shd w:fill="F7FAFD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Travel intensity appears to be a genuine lifestyle-disruption/burnout factor rather than a coincidental correlation, given the steady, monotonic increase.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 frequent-travel roles, consider travel caps, additional compensating time off, or travel allowances as targeted retention levers.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shd w:fill="1F386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INSIGHT 10: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Younger employees (18-25) are the highest-risk age group</w:t>
            </w:r>
            <w:r>
              <w:rPr>
                <w:rFonts w:ascii="Calibri" w:cs="Calibri" w:eastAsia="Calibri" w:hAnsi="Calibri"/>
                <w:b/>
                <w:bCs/>
                <w:color w:val="FFB3A7"/>
                <w:sz w:val="16"/>
                <w:szCs w:val="16"/>
              </w:rPr>
              <w:t xml:space="preserve">   [HIGH PRIORITY]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Attrition is 35.8% for ages 18-25, dropping to 9.2% for ages 36-45 before a small uptick at 56-60 (likely early retirement).</w:t>
            </w:r>
          </w:p>
        </w:tc>
      </w:tr>
      <w:tr>
        <w:tc>
          <w:tcPr>
            <w:tcW w:type="dxa" w:w="1800"/>
            <w:shd w:fill="F7FAFD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shd w:fill="F7FAFD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This aligns tightly with the tenure and salary findings — the same early-career, lower-paid employees keep showing up as the highest-risk group across multiple independent variables.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Prioritize retention investment (mentorship, career pathing, competitive starting pay) specifically for the 18-25 age band rather than spreading efforts evenly across all ages.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shd w:fill="1F386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INSIGHT 11: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Risk factors compound rather than simply add</w:t>
            </w:r>
            <w:r>
              <w:rPr>
                <w:rFonts w:ascii="Calibri" w:cs="Calibri" w:eastAsia="Calibri" w:hAnsi="Calibri"/>
                <w:b/>
                <w:bCs/>
                <w:color w:val="FFB3A7"/>
                <w:sz w:val="16"/>
                <w:szCs w:val="16"/>
              </w:rPr>
              <w:t xml:space="preserve">   [HIGH PRIORITY]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New hires who also work overtime leave at 50.96%; overtime combined with the worst work-life balance reaches 45.45%; overtime combined with lowest job satisfaction reaches 35.71%.</w:t>
            </w:r>
          </w:p>
        </w:tc>
      </w:tr>
      <w:tr>
        <w:tc>
          <w:tcPr>
            <w:tcW w:type="dxa" w:w="1800"/>
            <w:shd w:fill="F7FAFD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shd w:fill="F7FAFD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 employee with two or more overlapping risk factors is a near-certain flight risk — far higher than either factor alone would suggest — making this the single most powerful insight for targeting interventions.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Build a simple compounding-risk score (e.g., count of active risk flags per employee) into HR systems so managers can identify and prioritize outreach to employees carrying multiple risk factors simultaneously.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shd w:fill="1F386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INSIGHT 12: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Promotion recency is not a reliable predictor, despite common assumption</w:t>
            </w:r>
            <w:r>
              <w:rPr>
                <w:rFonts w:ascii="Calibri" w:cs="Calibri" w:eastAsia="Calibri" w:hAnsi="Calibri"/>
                <w:b/>
                <w:bCs/>
                <w:color w:val="B7E3B0"/>
                <w:sz w:val="16"/>
                <w:szCs w:val="16"/>
              </w:rPr>
              <w:t xml:space="preserve">   [MONITOR]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Leavers have a slightly LOWER average Years Since Last Promotion (1.95) than stayers (2.23), and the rate pattern across promotion-recency bands is inconsistent rather than linear.</w:t>
            </w:r>
          </w:p>
        </w:tc>
      </w:tr>
      <w:tr>
        <w:tc>
          <w:tcPr>
            <w:tcW w:type="dxa" w:w="1800"/>
            <w:shd w:fill="F7FAFD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shd w:fill="F7FAFD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common HR assumption — that employees leave because they've been passed over for promotion — is not supported by this data; time and budget spent purely on promotion-cadence policy is unlikely to reduce attrition on its own.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Deprioritize promotion-cadence changes as a standalone retention lever; if used at all, pair promotion timing with satisfaction and compensation signals rather than treating it in isolation.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shd w:fill="1F386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INSIGHT 13: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Stock options meaningfully support retention</w:t>
            </w:r>
            <w:r>
              <w:rPr>
                <w:rFonts w:ascii="Calibri" w:cs="Calibri" w:eastAsia="Calibri" w:hAnsi="Calibri"/>
                <w:b/>
                <w:bCs/>
                <w:color w:val="FFE3A3"/>
                <w:sz w:val="16"/>
                <w:szCs w:val="16"/>
              </w:rPr>
              <w:t xml:space="preserve">   [MODERATE]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Employees with zero stock options leave at 24.4%, compared to 7.6%-9.4% for those with any stock option level.</w:t>
            </w:r>
          </w:p>
        </w:tc>
      </w:tr>
      <w:tr>
        <w:tc>
          <w:tcPr>
            <w:tcW w:type="dxa" w:w="1800"/>
            <w:shd w:fill="F7FAFD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shd w:fill="F7FAFD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Equity-based incentives appear to create a tangible, ongoing financial reason to stay that base salary alone does not fully replicate.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Consider expanding stock option or equity-based incentive eligibility further down the org chart, particularly for early-career and lower-level employees who currently show the highest attrition.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shd w:fill="1F386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INSIGHT 14: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Distance from home is a real but secondary factor</w:t>
            </w:r>
            <w:r>
              <w:rPr>
                <w:rFonts w:ascii="Calibri" w:cs="Calibri" w:eastAsia="Calibri" w:hAnsi="Calibri"/>
                <w:b/>
                <w:bCs/>
                <w:color w:val="B7E3B0"/>
                <w:sz w:val="16"/>
                <w:szCs w:val="16"/>
              </w:rPr>
              <w:t xml:space="preserve">   [MONITOR]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Attrition rises from 13.8% for employees within 5 miles/km of work to 22.1% for those 21-29 miles/km away.</w:t>
            </w:r>
          </w:p>
        </w:tc>
      </w:tr>
      <w:tr>
        <w:tc>
          <w:tcPr>
            <w:tcW w:type="dxa" w:w="1800"/>
            <w:shd w:fill="F7FAFD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shd w:fill="F7FAFD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Commute distance matters, but the gradient is less steep and less consistent than compensation, overtime, or tenure — it's a real contributor, not a dominant one.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Factor commute distance into hybrid/remote-eligibility decisions, especially for employees who also show other risk signals, rather than treating it as a standalone policy priority.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shd w:fill="1F386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INSIGHT 15: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Gender is not a meaningful driver of attrition</w:t>
            </w:r>
            <w:r>
              <w:rPr>
                <w:rFonts w:ascii="Calibri" w:cs="Calibri" w:eastAsia="Calibri" w:hAnsi="Calibri"/>
                <w:b/>
                <w:bCs/>
                <w:color w:val="B7E3B0"/>
                <w:sz w:val="16"/>
                <w:szCs w:val="16"/>
              </w:rPr>
              <w:t xml:space="preserve">   [MONITOR]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Male employees leave at 17.01% versus 14.80% for female employees — a small, likely non-actionable gap.</w:t>
            </w:r>
          </w:p>
        </w:tc>
      </w:tr>
      <w:tr>
        <w:tc>
          <w:tcPr>
            <w:tcW w:type="dxa" w:w="1800"/>
            <w:shd w:fill="F7FAFD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shd w:fill="F7FAFD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Retention strategy does not need a gender-specific track; effort spent here would have low return relative to the stronger drivers identified elsewhere.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Exclude gender from targeted retention interventions; continue monitoring passively for equity purposes but do not prioritize it as an attrition lever.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shd w:fill="1F386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INSIGHT 16: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Education level shows a weak, inconsistent relationship with attrition</w:t>
            </w:r>
            <w:r>
              <w:rPr>
                <w:rFonts w:ascii="Calibri" w:cs="Calibri" w:eastAsia="Calibri" w:hAnsi="Calibri"/>
                <w:b/>
                <w:bCs/>
                <w:color w:val="B7E3B0"/>
                <w:sz w:val="16"/>
                <w:szCs w:val="16"/>
              </w:rPr>
              <w:t xml:space="preserve">   [MONITOR]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Attrition ranges narrowly from 10.4% (Doctorate) to 18.2% (Below College), without a clean trend across the middle levels.</w:t>
            </w:r>
          </w:p>
        </w:tc>
      </w:tr>
      <w:tr>
        <w:tc>
          <w:tcPr>
            <w:tcW w:type="dxa" w:w="1800"/>
            <w:shd w:fill="F7FAFD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shd w:fill="F7FAFD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Like promotion recency, this factor doesn't behave the way intuition might suggest and is not a strong basis for policy decisions.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 not use education level as a targeting criterion for retention programs; focus resources on the stronger, more consistent drivers instead.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shd w:fill="1F386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INSIGHT 17: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Relationship satisfaction has a modest but real effect</w:t>
            </w:r>
            <w:r>
              <w:rPr>
                <w:rFonts w:ascii="Calibri" w:cs="Calibri" w:eastAsia="Calibri" w:hAnsi="Calibri"/>
                <w:b/>
                <w:bCs/>
                <w:color w:val="B7E3B0"/>
                <w:sz w:val="16"/>
                <w:szCs w:val="16"/>
              </w:rPr>
              <w:t xml:space="preserve">   [MONITOR]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Attrition is 20.7% at the lowest relationship satisfaction level versus roughly 14.8%-15.5% at higher levels.</w:t>
            </w:r>
          </w:p>
        </w:tc>
      </w:tr>
      <w:tr>
        <w:tc>
          <w:tcPr>
            <w:tcW w:type="dxa" w:w="1800"/>
            <w:shd w:fill="F7FAFD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shd w:fill="F7FAFD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Workplace relationship quality matters for retention, though less strongly than job or environment satisfaction — still a relevant input for manager effectiveness.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Include relationship-quality topics in manager training and team-building initiatives, as a secondary (not primary) lever alongside job/environment satisfaction improvements.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shd w:fill="1F386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INSIGHT 18: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Total attrition cost is concentrated, not evenly spread</w:t>
            </w:r>
            <w:r>
              <w:rPr>
                <w:rFonts w:ascii="Calibri" w:cs="Calibri" w:eastAsia="Calibri" w:hAnsi="Calibri"/>
                <w:b/>
                <w:bCs/>
                <w:color w:val="FFB3A7"/>
                <w:sz w:val="16"/>
                <w:szCs w:val="16"/>
              </w:rPr>
              <w:t xml:space="preserve">   [HIGH PRIORITY]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237 total departures came disproportionately from Sales (92), overtime workers (127 of 416 headcount), and employees in their first two years — overlapping groups rather than independent ones.</w:t>
            </w:r>
          </w:p>
        </w:tc>
      </w:tr>
      <w:tr>
        <w:tc>
          <w:tcPr>
            <w:tcW w:type="dxa" w:w="1800"/>
            <w:shd w:fill="F7FAFD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shd w:fill="F7FAFD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Because these high-risk groups overlap heavily, a small number of targeted interventions could address a disproportionately large share of total attrition, rather than needing broad company-wide change.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Prioritize retention budget and attention on the intersection of Sales + overtime + early tenure, since this is where the largest concentration of preventable departures likely sits.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shd w:fill="1F386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INSIGHT 19: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The average employee profile masks significant hidden risk</w:t>
            </w:r>
            <w:r>
              <w:rPr>
                <w:rFonts w:ascii="Calibri" w:cs="Calibri" w:eastAsia="Calibri" w:hAnsi="Calibri"/>
                <w:b/>
                <w:bCs/>
                <w:color w:val="FFE3A3"/>
                <w:sz w:val="16"/>
                <w:szCs w:val="16"/>
              </w:rPr>
              <w:t xml:space="preserve">   [MODERATE]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Company-wide averages (Age 36.9, Income $6,503, Tenure 7.0 years) look healthy, but these numbers are pulled upward by a stable long-tenured majority masking a much higher-risk minority.</w:t>
            </w:r>
          </w:p>
        </w:tc>
      </w:tr>
      <w:tr>
        <w:tc>
          <w:tcPr>
            <w:tcW w:type="dxa" w:w="1800"/>
            <w:shd w:fill="F7FAFD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shd w:fill="F7FAFD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Relying on company-wide KPI averages alone would understate the urgency of the early-career, lower-paid segment's risk — segment-level analysis is essential, not optional.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 attrition KPIs to leadership segmented by tenure/age/role bands, not just as a single company-wide number, to keep the highest-risk groups visible in leadership reporting.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shd w:fill="1F386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INSIGHT 20: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Retention efforts should be data-driven and segment-targeted, not uniform</w:t>
            </w:r>
            <w:r>
              <w:rPr>
                <w:rFonts w:ascii="Calibri" w:cs="Calibri" w:eastAsia="Calibri" w:hAnsi="Calibri"/>
                <w:b/>
                <w:bCs/>
                <w:color w:val="FFB3A7"/>
                <w:sz w:val="16"/>
                <w:szCs w:val="16"/>
              </w:rPr>
              <w:t xml:space="preserve">   [HIGH PRIORITY]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strong risk factor identified (overtime, tenure, salary, satisfaction, role) points to the same overlapping persona: young, early-tenure, lower-paid, working overtime, in front-line Sales-type roles.</w:t>
            </w:r>
          </w:p>
        </w:tc>
      </w:tr>
      <w:tr>
        <w:tc>
          <w:tcPr>
            <w:tcW w:type="dxa" w:w="1800"/>
            <w:shd w:fill="F7FAFD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7560"/>
            <w:shd w:fill="F7FAFD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uniform, company-wide retention policy would spend resources on already-stable segments (e.g., R&amp;D veterans) while under-serving the specific group actually driving most attrition.</w:t>
            </w:r>
          </w:p>
        </w:tc>
      </w:tr>
      <w:tr>
        <w:tc>
          <w:tcPr>
            <w:tcW w:type="dxa" w:w="1800"/>
            <w:shd w:fill="EAF1FA" w:color="auto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560"/>
            <w:shd w:fill="EAF1FA" w:color="auto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Design a single, targeted retention program aimed at this specific persona (early-career + overtime + Sales-adjacent roles) rather than broad, undifferentiated initiatives — this is likely to deliver the highest return on retention investment.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Closing Note</w:t>
      </w:r>
    </w:p>
    <w:p>
      <w:pPr>
        <w:spacing w:after="150" w:line="300"/>
      </w:pPr>
      <w:r>
        <w:rPr>
          <w:rFonts w:ascii="Calibri" w:cs="Calibri" w:eastAsia="Calibri" w:hAnsi="Calibri"/>
          <w:sz w:val="21"/>
          <w:szCs w:val="21"/>
        </w:rPr>
        <w:t xml:space="preserve">Eight of these twenty insights are flagged HIGH PRIORITY, and nearly all of them describe the same overlapping group: young, early-tenure, lower-paid employees working overtime in Sales-adjacent, front-line roles. This is the project's central finding — attrition here is not twenty scattered problems, but one concentrated, addressable pattern. A single well-targeted retention initiative aimed at this segment is likely to outperform broad, company-wide policy changes.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Employee Attrition Analysis — Business Insights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2026-07-13T04:31:37.101Z</dcterms:created>
  <dcterms:modified xsi:type="dcterms:W3CDTF">2026-07-13T04:31:37.114Z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