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F3864"/>
          <w:sz w:val="40"/>
          <w:szCs w:val="40"/>
        </w:rPr>
        <w:t xml:space="preserve">EMPLOYEE ATTRITION ANALYSIS PROJECT</w:t>
      </w:r>
    </w:p>
    <w:p>
      <w:pPr>
        <w:spacing w:after="40"/>
        <w:jc w:val="center"/>
      </w:pPr>
      <w:r>
        <w:rPr>
          <w:rFonts w:ascii="Calibri" w:cs="Calibri" w:eastAsia="Calibri" w:hAnsi="Calibri"/>
          <w:b/>
          <w:bCs/>
          <w:color w:val="2E75B6"/>
          <w:sz w:val="28"/>
          <w:szCs w:val="28"/>
        </w:rPr>
        <w:t xml:space="preserve">Data Dictionary Report</w:t>
      </w:r>
    </w:p>
    <w:p>
      <w:pPr>
        <w:pBdr>
          <w:bottom w:val="single" w:color="2E75B6" w:sz="12" w:space="6"/>
        </w:pBdr>
        <w:spacing w:after="300"/>
        <w:jc w:val="center"/>
      </w:pPr>
      <w:r>
        <w:rPr>
          <w:rFonts w:ascii="Calibri" w:cs="Calibri" w:eastAsia="Calibri" w:hAnsi="Calibri"/>
          <w:i/>
          <w:iCs/>
          <w:color w:val="595959"/>
          <w:sz w:val="20"/>
          <w:szCs w:val="20"/>
        </w:rPr>
        <w:t xml:space="preserve">Phase 1: Dataset Understanding — Prior to Cleaning &amp; Analysis</w:t>
      </w:r>
    </w:p>
    <w:p>
      <w:pPr>
        <w:pStyle w:val="Heading1"/>
        <w:pBdr>
          <w:bottom w:val="single" w:color="1F3864" w:sz="6" w:space="4"/>
        </w:pBdr>
        <w:spacing w:after="160" w:before="300"/>
      </w:pPr>
      <w:r>
        <w:rPr>
          <w:rFonts w:ascii="Calibri" w:cs="Calibri" w:eastAsia="Calibri" w:hAnsi="Calibri"/>
          <w:b/>
          <w:bCs/>
          <w:color w:val="1F3864"/>
          <w:sz w:val="30"/>
          <w:szCs w:val="30"/>
        </w:rPr>
        <w:t xml:space="preserve">1. Project Context</w:t>
      </w:r>
    </w:p>
    <w:p>
      <w:pPr>
        <w:spacing w:after="160" w:line="300"/>
      </w:pPr>
      <w:r>
        <w:rPr>
          <w:rFonts w:ascii="Calibri" w:cs="Calibri" w:eastAsia="Calibri" w:hAnsi="Calibri"/>
          <w:i w:val="false"/>
          <w:iCs w:val="false"/>
          <w:color w:val="000000"/>
          <w:sz w:val="21"/>
          <w:szCs w:val="21"/>
        </w:rPr>
        <w:t xml:space="preserve">This dataset (1,470 employee records, 35 columns) is the IBM-style HR Analytics Employee Attrition dataset. It captures demographic, compensation, satisfaction, and tenure information for employees, with the goal of identifying the drivers of voluntary attrition and supporting HR retention strategy. This report documents the dataset structure prior to any cleaning or analytical work.</w:t>
      </w:r>
    </w:p>
    <w:p>
      <w:pPr>
        <w:pStyle w:val="Heading1"/>
        <w:pBdr>
          <w:bottom w:val="single" w:color="1F3864" w:sz="6" w:space="4"/>
        </w:pBdr>
        <w:spacing w:after="160" w:before="300"/>
      </w:pPr>
      <w:r>
        <w:rPr>
          <w:rFonts w:ascii="Calibri" w:cs="Calibri" w:eastAsia="Calibri" w:hAnsi="Calibri"/>
          <w:b/>
          <w:bCs/>
          <w:color w:val="1F3864"/>
          <w:sz w:val="30"/>
          <w:szCs w:val="30"/>
        </w:rPr>
        <w:t xml:space="preserve">2. Column Classification Summary</w:t>
      </w:r>
    </w:p>
    <w:p>
      <w:pPr>
        <w:spacing w:after="160" w:line="300"/>
      </w:pPr>
      <w:r>
        <w:rPr>
          <w:rFonts w:ascii="Calibri" w:cs="Calibri" w:eastAsia="Calibri" w:hAnsi="Calibri"/>
          <w:i w:val="false"/>
          <w:iCs w:val="false"/>
          <w:color w:val="000000"/>
          <w:sz w:val="21"/>
          <w:szCs w:val="21"/>
        </w:rPr>
        <w:t xml:space="preserve">Every column has been classified as Numerical or Categorical based on its underlying data type and analytical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2E75B6" w:color="auto" w:val="clear"/>
            <w:tcMar>
              <w:top w:type="dxa" w:w="90"/>
              <w:left w:type="dxa" w:w="120"/>
              <w:bottom w:type="dxa" w:w="90"/>
              <w:right w:type="dxa" w:w="120"/>
            </w:tcMar>
          </w:tcPr>
          <w:p>
            <w:r>
              <w:rPr>
                <w:rFonts w:ascii="Calibri" w:cs="Calibri" w:eastAsia="Calibri" w:hAnsi="Calibri"/>
                <w:b/>
                <w:bCs/>
                <w:color w:val="FFFFFF"/>
                <w:sz w:val="19"/>
                <w:szCs w:val="19"/>
              </w:rPr>
              <w:t xml:space="preserve">Type</w:t>
            </w:r>
          </w:p>
        </w:tc>
        <w:tc>
          <w:tcPr>
            <w:tcW w:type="dxa" w:w="7160"/>
            <w:shd w:fill="2E75B6" w:color="auto" w:val="clear"/>
            <w:tcMar>
              <w:top w:type="dxa" w:w="90"/>
              <w:left w:type="dxa" w:w="120"/>
              <w:bottom w:type="dxa" w:w="90"/>
              <w:right w:type="dxa" w:w="120"/>
            </w:tcMar>
          </w:tcPr>
          <w:p>
            <w:r>
              <w:rPr>
                <w:rFonts w:ascii="Calibri" w:cs="Calibri" w:eastAsia="Calibri" w:hAnsi="Calibri"/>
                <w:b/>
                <w:bCs/>
                <w:color w:val="FFFFFF"/>
                <w:sz w:val="19"/>
                <w:szCs w:val="19"/>
              </w:rPr>
              <w:t xml:space="preserve">Columns</w:t>
            </w:r>
          </w:p>
        </w:tc>
      </w:tr>
      <w:tr>
        <w:tc>
          <w:tcPr>
            <w:tcW w:type="dxa" w:w="2200"/>
            <w:tcMar>
              <w:top w:type="dxa" w:w="90"/>
              <w:left w:type="dxa" w:w="120"/>
              <w:bottom w:type="dxa" w:w="90"/>
              <w:right w:type="dxa" w:w="120"/>
            </w:tcMar>
          </w:tcPr>
          <w:p>
            <w:r>
              <w:rPr>
                <w:rFonts w:ascii="Calibri" w:cs="Calibri" w:eastAsia="Calibri" w:hAnsi="Calibri"/>
                <w:sz w:val="18"/>
                <w:szCs w:val="18"/>
              </w:rPr>
              <w:t xml:space="preserve">Numerical (17)</w:t>
            </w:r>
          </w:p>
        </w:tc>
        <w:tc>
          <w:tcPr>
            <w:tcW w:type="dxa" w:w="7160"/>
            <w:tcMar>
              <w:top w:type="dxa" w:w="90"/>
              <w:left w:type="dxa" w:w="120"/>
              <w:bottom w:type="dxa" w:w="90"/>
              <w:right w:type="dxa" w:w="120"/>
            </w:tcMar>
          </w:tcPr>
          <w:p>
            <w:r>
              <w:rPr>
                <w:rFonts w:ascii="Calibri" w:cs="Calibri" w:eastAsia="Calibri" w:hAnsi="Calibri"/>
                <w:sz w:val="18"/>
                <w:szCs w:val="18"/>
              </w:rPr>
              <w:t xml:space="preserve">Age, DailyRate, DistanceFromHome, EmployeeCount, EmployeeNumber, HourlyRate, MonthlyIncome, MonthlyRate, NumCompaniesWorked, PercentSalaryHike, StandardHours, TotalWorkingYears, TrainingTimesLastYear, YearsAtCompany, YearsInCurrentRole, YearsSinceLastPromotion, YearsWithCurrManager</w:t>
            </w:r>
          </w:p>
        </w:tc>
      </w:tr>
      <w:tr>
        <w:tc>
          <w:tcPr>
            <w:tcW w:type="dxa" w:w="2200"/>
            <w:tcMar>
              <w:top w:type="dxa" w:w="90"/>
              <w:left w:type="dxa" w:w="120"/>
              <w:bottom w:type="dxa" w:w="90"/>
              <w:right w:type="dxa" w:w="120"/>
            </w:tcMar>
          </w:tcPr>
          <w:p>
            <w:r>
              <w:rPr>
                <w:rFonts w:ascii="Calibri" w:cs="Calibri" w:eastAsia="Calibri" w:hAnsi="Calibri"/>
                <w:sz w:val="18"/>
                <w:szCs w:val="18"/>
              </w:rPr>
              <w:t xml:space="preserve">Categorical (18)</w:t>
            </w:r>
          </w:p>
        </w:tc>
        <w:tc>
          <w:tcPr>
            <w:tcW w:type="dxa" w:w="7160"/>
            <w:tcMar>
              <w:top w:type="dxa" w:w="90"/>
              <w:left w:type="dxa" w:w="120"/>
              <w:bottom w:type="dxa" w:w="90"/>
              <w:right w:type="dxa" w:w="120"/>
            </w:tcMar>
          </w:tcPr>
          <w:p>
            <w:r>
              <w:rPr>
                <w:rFonts w:ascii="Calibri" w:cs="Calibri" w:eastAsia="Calibri" w:hAnsi="Calibri"/>
                <w:sz w:val="18"/>
                <w:szCs w:val="18"/>
              </w:rPr>
              <w:t xml:space="preserve">Attrition, BusinessTravel, Department, Education, EducationField, EnvironmentSatisfaction, Gender, JobInvolvement, JobLevel, JobRole, JobSatisfaction, MaritalStatus, Over18, OverTime, PerformanceRating, RelationshipSatisfaction, StockOptionLevel, WorkLifeBalance</w:t>
            </w:r>
          </w:p>
        </w:tc>
      </w:tr>
    </w:tbl>
    <w:p>
      <w:pPr>
        <w:spacing w:after="200"/>
      </w:pPr>
      <w:r>
        <w:rPr>
          <w:sz w:val="2"/>
          <w:szCs w:val="2"/>
        </w:rPr>
        <w:t xml:space="preserve"/>
      </w:r>
    </w:p>
    <w:p>
      <w:pPr>
        <w:pStyle w:val="Heading1"/>
        <w:pBdr>
          <w:bottom w:val="single" w:color="1F3864" w:sz="6" w:space="4"/>
        </w:pBdr>
        <w:spacing w:after="160" w:before="300"/>
      </w:pPr>
      <w:r>
        <w:rPr>
          <w:rFonts w:ascii="Calibri" w:cs="Calibri" w:eastAsia="Calibri" w:hAnsi="Calibri"/>
          <w:b/>
          <w:bCs/>
          <w:color w:val="1F3864"/>
          <w:sz w:val="30"/>
          <w:szCs w:val="30"/>
        </w:rPr>
        <w:t xml:space="preserve">3. Full Data Dictionary</w:t>
      </w:r>
    </w:p>
    <w:p>
      <w:pPr>
        <w:spacing w:after="160" w:line="300"/>
      </w:pPr>
      <w:r>
        <w:rPr>
          <w:rFonts w:ascii="Calibri" w:cs="Calibri" w:eastAsia="Calibri" w:hAnsi="Calibri"/>
          <w:i w:val="false"/>
          <w:iCs w:val="false"/>
          <w:color w:val="000000"/>
          <w:sz w:val="21"/>
          <w:szCs w:val="21"/>
        </w:rPr>
        <w:t xml:space="preserve">The table below defines every column, its data type, its category, its value range, and — critically — why it matters from a business/HR perspective.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1300"/>
        <w:gridCol w:w="1500"/>
        <w:gridCol w:w="3910"/>
      </w:tblGrid>
      <w:tr>
        <w:trPr>
          <w:tblHeader/>
        </w:trPr>
        <w:tc>
          <w:tcPr>
            <w:tcW w:type="dxa" w:w="1500"/>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Column</w:t>
            </w:r>
          </w:p>
        </w:tc>
        <w:tc>
          <w:tcPr>
            <w:tcW w:type="dxa" w:w="1150"/>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Data Type</w:t>
            </w:r>
          </w:p>
        </w:tc>
        <w:tc>
          <w:tcPr>
            <w:tcW w:type="dxa" w:w="1300"/>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Category</w:t>
            </w:r>
          </w:p>
        </w:tc>
        <w:tc>
          <w:tcPr>
            <w:tcW w:type="dxa" w:w="1500"/>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Values / Range</w:t>
            </w:r>
          </w:p>
        </w:tc>
        <w:tc>
          <w:tcPr>
            <w:tcW w:type="dxa" w:w="3910"/>
            <w:shd w:fill="1F3864" w:color="auto"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Business Importance</w:t>
            </w:r>
          </w:p>
        </w:tc>
      </w:tr>
      <w:tr>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Age</w:t>
            </w:r>
          </w:p>
        </w:tc>
        <w:tc>
          <w:tcPr>
            <w:tcW w:type="dxa" w:w="115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Numerical</w:t>
            </w:r>
          </w:p>
        </w:tc>
        <w:tc>
          <w:tcPr>
            <w:tcW w:type="dxa" w:w="13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Continuous</w:t>
            </w:r>
          </w:p>
        </w:tc>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18–60</w:t>
            </w:r>
          </w:p>
        </w:tc>
        <w:tc>
          <w:tcPr>
            <w:tcW w:type="dxa" w:w="391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Age can correlate with career stage, flight risk (younger employees often churn more), and retirement planning.</w:t>
            </w:r>
          </w:p>
        </w:tc>
      </w:tr>
      <w:tr>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Attrition</w:t>
            </w:r>
          </w:p>
        </w:tc>
        <w:tc>
          <w:tcPr>
            <w:tcW w:type="dxa" w:w="115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Categorical</w:t>
            </w:r>
          </w:p>
        </w:tc>
        <w:tc>
          <w:tcPr>
            <w:tcW w:type="dxa" w:w="13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Binary (Yes/No)</w:t>
            </w:r>
          </w:p>
        </w:tc>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Target variable</w:t>
            </w:r>
          </w:p>
        </w:tc>
        <w:tc>
          <w:tcPr>
            <w:tcW w:type="dxa" w:w="391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The core metric HR wants to predict/reduce — every other column is analyzed in relation to this.</w:t>
            </w:r>
          </w:p>
        </w:tc>
      </w:tr>
      <w:tr>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BusinessTravel</w:t>
            </w:r>
          </w:p>
        </w:tc>
        <w:tc>
          <w:tcPr>
            <w:tcW w:type="dxa" w:w="115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Categorical</w:t>
            </w:r>
          </w:p>
        </w:tc>
        <w:tc>
          <w:tcPr>
            <w:tcW w:type="dxa" w:w="13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Ordinal (3 levels)</w:t>
            </w:r>
          </w:p>
        </w:tc>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Non-Travel, Rarely, Frequently</w:t>
            </w:r>
          </w:p>
        </w:tc>
        <w:tc>
          <w:tcPr>
            <w:tcW w:type="dxa" w:w="391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Frequent travel is a known burnout/attrition driver — relevant for role design and travel policy.</w:t>
            </w:r>
          </w:p>
        </w:tc>
      </w:tr>
      <w:tr>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DailyRate</w:t>
            </w:r>
          </w:p>
        </w:tc>
        <w:tc>
          <w:tcPr>
            <w:tcW w:type="dxa" w:w="115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Numerical</w:t>
            </w:r>
          </w:p>
        </w:tc>
        <w:tc>
          <w:tcPr>
            <w:tcW w:type="dxa" w:w="13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Continuous</w:t>
            </w:r>
          </w:p>
        </w:tc>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$102–$1,499</w:t>
            </w:r>
          </w:p>
        </w:tc>
        <w:tc>
          <w:tcPr>
            <w:tcW w:type="dxa" w:w="391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Proxy for compensation; useful for pay-equity and pay-vs-attrition analysis.</w:t>
            </w:r>
          </w:p>
        </w:tc>
      </w:tr>
      <w:tr>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Department</w:t>
            </w:r>
          </w:p>
        </w:tc>
        <w:tc>
          <w:tcPr>
            <w:tcW w:type="dxa" w:w="115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Categorical</w:t>
            </w:r>
          </w:p>
        </w:tc>
        <w:tc>
          <w:tcPr>
            <w:tcW w:type="dxa" w:w="13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Nominal (3)</w:t>
            </w:r>
          </w:p>
        </w:tc>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Sales, R&amp;D, HR</w:t>
            </w:r>
          </w:p>
        </w:tc>
        <w:tc>
          <w:tcPr>
            <w:tcW w:type="dxa" w:w="391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Identifies which business units suffer highest turnover, guiding where to focus retention budget.</w:t>
            </w:r>
          </w:p>
        </w:tc>
      </w:tr>
      <w:tr>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DistanceFromHome</w:t>
            </w:r>
          </w:p>
        </w:tc>
        <w:tc>
          <w:tcPr>
            <w:tcW w:type="dxa" w:w="115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Numerical</w:t>
            </w:r>
          </w:p>
        </w:tc>
        <w:tc>
          <w:tcPr>
            <w:tcW w:type="dxa" w:w="13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Continuous (miles/km)</w:t>
            </w:r>
          </w:p>
        </w:tc>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1–29</w:t>
            </w:r>
          </w:p>
        </w:tc>
        <w:tc>
          <w:tcPr>
            <w:tcW w:type="dxa" w:w="391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Long commutes are linked to dissatisfaction and attrition — informs remote/hybrid policy decisions.</w:t>
            </w:r>
          </w:p>
        </w:tc>
      </w:tr>
      <w:tr>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Education</w:t>
            </w:r>
          </w:p>
        </w:tc>
        <w:tc>
          <w:tcPr>
            <w:tcW w:type="dxa" w:w="115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Categorical</w:t>
            </w:r>
          </w:p>
        </w:tc>
        <w:tc>
          <w:tcPr>
            <w:tcW w:type="dxa" w:w="13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Ordinal (1–5)</w:t>
            </w:r>
          </w:p>
        </w:tc>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1=Below College … 5=Doctor</w:t>
            </w:r>
          </w:p>
        </w:tc>
        <w:tc>
          <w:tcPr>
            <w:tcW w:type="dxa" w:w="391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Helps assess if attrition varies by education level, useful for talent-segment strategies.</w:t>
            </w:r>
          </w:p>
        </w:tc>
      </w:tr>
      <w:tr>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EducationField</w:t>
            </w:r>
          </w:p>
        </w:tc>
        <w:tc>
          <w:tcPr>
            <w:tcW w:type="dxa" w:w="115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Categorical</w:t>
            </w:r>
          </w:p>
        </w:tc>
        <w:tc>
          <w:tcPr>
            <w:tcW w:type="dxa" w:w="13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Nominal (6)</w:t>
            </w:r>
          </w:p>
        </w:tc>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Life Sciences, Medical, Marketing, etc.</w:t>
            </w:r>
          </w:p>
        </w:tc>
        <w:tc>
          <w:tcPr>
            <w:tcW w:type="dxa" w:w="391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Reveals whether certain academic backgrounds churn more, useful for recruiting/onboarding fit.</w:t>
            </w:r>
          </w:p>
        </w:tc>
      </w:tr>
      <w:tr>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EmployeeCount</w:t>
            </w:r>
          </w:p>
        </w:tc>
        <w:tc>
          <w:tcPr>
            <w:tcW w:type="dxa" w:w="115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Numerical</w:t>
            </w:r>
          </w:p>
        </w:tc>
        <w:tc>
          <w:tcPr>
            <w:tcW w:type="dxa" w:w="13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Constant (=1)</w:t>
            </w:r>
          </w:p>
        </w:tc>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1</w:t>
            </w:r>
          </w:p>
        </w:tc>
        <w:tc>
          <w:tcPr>
            <w:tcW w:type="dxa" w:w="391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No analytical value — flagged for removal in cleaning.</w:t>
            </w:r>
          </w:p>
        </w:tc>
      </w:tr>
      <w:tr>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EmployeeNumber</w:t>
            </w:r>
          </w:p>
        </w:tc>
        <w:tc>
          <w:tcPr>
            <w:tcW w:type="dxa" w:w="115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Numerical</w:t>
            </w:r>
          </w:p>
        </w:tc>
        <w:tc>
          <w:tcPr>
            <w:tcW w:type="dxa" w:w="13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Identifier</w:t>
            </w:r>
          </w:p>
        </w:tc>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Unique</w:t>
            </w:r>
          </w:p>
        </w:tc>
        <w:tc>
          <w:tcPr>
            <w:tcW w:type="dxa" w:w="391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Primary key only; not used in analysis, just record tracking.</w:t>
            </w:r>
          </w:p>
        </w:tc>
      </w:tr>
      <w:tr>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EnvironmentSatisfaction</w:t>
            </w:r>
          </w:p>
        </w:tc>
        <w:tc>
          <w:tcPr>
            <w:tcW w:type="dxa" w:w="115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Categorical</w:t>
            </w:r>
          </w:p>
        </w:tc>
        <w:tc>
          <w:tcPr>
            <w:tcW w:type="dxa" w:w="13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Ordinal (1–4)</w:t>
            </w:r>
          </w:p>
        </w:tc>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1=Low … 4=Very High</w:t>
            </w:r>
          </w:p>
        </w:tc>
        <w:tc>
          <w:tcPr>
            <w:tcW w:type="dxa" w:w="391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Direct measure of workplace conditions satisfaction — a classic attrition driver.</w:t>
            </w:r>
          </w:p>
        </w:tc>
      </w:tr>
      <w:tr>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Gender</w:t>
            </w:r>
          </w:p>
        </w:tc>
        <w:tc>
          <w:tcPr>
            <w:tcW w:type="dxa" w:w="115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Categorical</w:t>
            </w:r>
          </w:p>
        </w:tc>
        <w:tc>
          <w:tcPr>
            <w:tcW w:type="dxa" w:w="13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Binary</w:t>
            </w:r>
          </w:p>
        </w:tc>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Male, Female</w:t>
            </w:r>
          </w:p>
        </w:tc>
        <w:tc>
          <w:tcPr>
            <w:tcW w:type="dxa" w:w="391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Enables diversity &amp; equity analysis of attrition and pay.</w:t>
            </w:r>
          </w:p>
        </w:tc>
      </w:tr>
      <w:tr>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HourlyRate</w:t>
            </w:r>
          </w:p>
        </w:tc>
        <w:tc>
          <w:tcPr>
            <w:tcW w:type="dxa" w:w="115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Numerical</w:t>
            </w:r>
          </w:p>
        </w:tc>
        <w:tc>
          <w:tcPr>
            <w:tcW w:type="dxa" w:w="13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Continuous</w:t>
            </w:r>
          </w:p>
        </w:tc>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$30–$100</w:t>
            </w:r>
          </w:p>
        </w:tc>
        <w:tc>
          <w:tcPr>
            <w:tcW w:type="dxa" w:w="391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Additional compensation proxy, useful for pay-band and fairness analysis.</w:t>
            </w:r>
          </w:p>
        </w:tc>
      </w:tr>
      <w:tr>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JobInvolvement</w:t>
            </w:r>
          </w:p>
        </w:tc>
        <w:tc>
          <w:tcPr>
            <w:tcW w:type="dxa" w:w="115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Categorical</w:t>
            </w:r>
          </w:p>
        </w:tc>
        <w:tc>
          <w:tcPr>
            <w:tcW w:type="dxa" w:w="13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Ordinal (1–4)</w:t>
            </w:r>
          </w:p>
        </w:tc>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1=Low … 4=Very High</w:t>
            </w:r>
          </w:p>
        </w:tc>
        <w:tc>
          <w:tcPr>
            <w:tcW w:type="dxa" w:w="391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Measures engagement — low involvement is a strong precursor to attrition.</w:t>
            </w:r>
          </w:p>
        </w:tc>
      </w:tr>
      <w:tr>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JobLevel</w:t>
            </w:r>
          </w:p>
        </w:tc>
        <w:tc>
          <w:tcPr>
            <w:tcW w:type="dxa" w:w="115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Categorical</w:t>
            </w:r>
          </w:p>
        </w:tc>
        <w:tc>
          <w:tcPr>
            <w:tcW w:type="dxa" w:w="13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Ordinal (1–5)</w:t>
            </w:r>
          </w:p>
        </w:tc>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1=Entry … 5=Executive</w:t>
            </w:r>
          </w:p>
        </w:tc>
        <w:tc>
          <w:tcPr>
            <w:tcW w:type="dxa" w:w="391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Attrition often varies sharply by seniority; critical for succession planning.</w:t>
            </w:r>
          </w:p>
        </w:tc>
      </w:tr>
      <w:tr>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JobRole</w:t>
            </w:r>
          </w:p>
        </w:tc>
        <w:tc>
          <w:tcPr>
            <w:tcW w:type="dxa" w:w="115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Categorical</w:t>
            </w:r>
          </w:p>
        </w:tc>
        <w:tc>
          <w:tcPr>
            <w:tcW w:type="dxa" w:w="13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Nominal (9)</w:t>
            </w:r>
          </w:p>
        </w:tc>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Sales Executive, Manager, etc.</w:t>
            </w:r>
          </w:p>
        </w:tc>
        <w:tc>
          <w:tcPr>
            <w:tcW w:type="dxa" w:w="391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Pinpoints exact roles with highest churn — enables targeted interventions.</w:t>
            </w:r>
          </w:p>
        </w:tc>
      </w:tr>
      <w:tr>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JobSatisfaction</w:t>
            </w:r>
          </w:p>
        </w:tc>
        <w:tc>
          <w:tcPr>
            <w:tcW w:type="dxa" w:w="115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Categorical</w:t>
            </w:r>
          </w:p>
        </w:tc>
        <w:tc>
          <w:tcPr>
            <w:tcW w:type="dxa" w:w="13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Ordinal (1–4)</w:t>
            </w:r>
          </w:p>
        </w:tc>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1=Low … 4=Very High</w:t>
            </w:r>
          </w:p>
        </w:tc>
        <w:tc>
          <w:tcPr>
            <w:tcW w:type="dxa" w:w="391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One of the most direct predictors of voluntary attrition.</w:t>
            </w:r>
          </w:p>
        </w:tc>
      </w:tr>
      <w:tr>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MaritalStatus</w:t>
            </w:r>
          </w:p>
        </w:tc>
        <w:tc>
          <w:tcPr>
            <w:tcW w:type="dxa" w:w="115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Categorical</w:t>
            </w:r>
          </w:p>
        </w:tc>
        <w:tc>
          <w:tcPr>
            <w:tcW w:type="dxa" w:w="13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Nominal (3)</w:t>
            </w:r>
          </w:p>
        </w:tc>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Single, Married, Divorced</w:t>
            </w:r>
          </w:p>
        </w:tc>
        <w:tc>
          <w:tcPr>
            <w:tcW w:type="dxa" w:w="391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Life-stage factor; singles often show higher mobility/attrition.</w:t>
            </w:r>
          </w:p>
        </w:tc>
      </w:tr>
      <w:tr>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MonthlyIncome</w:t>
            </w:r>
          </w:p>
        </w:tc>
        <w:tc>
          <w:tcPr>
            <w:tcW w:type="dxa" w:w="115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Numerical</w:t>
            </w:r>
          </w:p>
        </w:tc>
        <w:tc>
          <w:tcPr>
            <w:tcW w:type="dxa" w:w="13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Continuous</w:t>
            </w:r>
          </w:p>
        </w:tc>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$1,009–$19,999</w:t>
            </w:r>
          </w:p>
        </w:tc>
        <w:tc>
          <w:tcPr>
            <w:tcW w:type="dxa" w:w="391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Core compensation metric — central to salary-vs-attrition analysis and pay equity.</w:t>
            </w:r>
          </w:p>
        </w:tc>
      </w:tr>
      <w:tr>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MonthlyRate</w:t>
            </w:r>
          </w:p>
        </w:tc>
        <w:tc>
          <w:tcPr>
            <w:tcW w:type="dxa" w:w="115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Numerical</w:t>
            </w:r>
          </w:p>
        </w:tc>
        <w:tc>
          <w:tcPr>
            <w:tcW w:type="dxa" w:w="13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Continuous</w:t>
            </w:r>
          </w:p>
        </w:tc>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$2,094–$26,999</w:t>
            </w:r>
          </w:p>
        </w:tc>
        <w:tc>
          <w:tcPr>
            <w:tcW w:type="dxa" w:w="391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Secondary pay-related metric (distinct from income); used for compensation structure analysis.</w:t>
            </w:r>
          </w:p>
        </w:tc>
      </w:tr>
      <w:tr>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NumCompaniesWorked</w:t>
            </w:r>
          </w:p>
        </w:tc>
        <w:tc>
          <w:tcPr>
            <w:tcW w:type="dxa" w:w="115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Numerical</w:t>
            </w:r>
          </w:p>
        </w:tc>
        <w:tc>
          <w:tcPr>
            <w:tcW w:type="dxa" w:w="13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Discrete</w:t>
            </w:r>
          </w:p>
        </w:tc>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0–9</w:t>
            </w:r>
          </w:p>
        </w:tc>
        <w:tc>
          <w:tcPr>
            <w:tcW w:type="dxa" w:w="391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Measures job-hopping tendency — a strong historical predictor of future attrition.</w:t>
            </w:r>
          </w:p>
        </w:tc>
      </w:tr>
      <w:tr>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Over18</w:t>
            </w:r>
          </w:p>
        </w:tc>
        <w:tc>
          <w:tcPr>
            <w:tcW w:type="dxa" w:w="115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Categorical</w:t>
            </w:r>
          </w:p>
        </w:tc>
        <w:tc>
          <w:tcPr>
            <w:tcW w:type="dxa" w:w="13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Constant (=Y)</w:t>
            </w:r>
          </w:p>
        </w:tc>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Y</w:t>
            </w:r>
          </w:p>
        </w:tc>
        <w:tc>
          <w:tcPr>
            <w:tcW w:type="dxa" w:w="391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No variance — flagged for removal.</w:t>
            </w:r>
          </w:p>
        </w:tc>
      </w:tr>
      <w:tr>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OverTime</w:t>
            </w:r>
          </w:p>
        </w:tc>
        <w:tc>
          <w:tcPr>
            <w:tcW w:type="dxa" w:w="115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Categorical</w:t>
            </w:r>
          </w:p>
        </w:tc>
        <w:tc>
          <w:tcPr>
            <w:tcW w:type="dxa" w:w="13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Binary (Yes/No)</w:t>
            </w:r>
          </w:p>
        </w:tc>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Yes, No</w:t>
            </w:r>
          </w:p>
        </w:tc>
        <w:tc>
          <w:tcPr>
            <w:tcW w:type="dxa" w:w="391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One of the strongest known attrition predictors — directly tied to work-life balance.</w:t>
            </w:r>
          </w:p>
        </w:tc>
      </w:tr>
      <w:tr>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PercentSalaryHike</w:t>
            </w:r>
          </w:p>
        </w:tc>
        <w:tc>
          <w:tcPr>
            <w:tcW w:type="dxa" w:w="115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Numerical</w:t>
            </w:r>
          </w:p>
        </w:tc>
        <w:tc>
          <w:tcPr>
            <w:tcW w:type="dxa" w:w="13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Continuous</w:t>
            </w:r>
          </w:p>
        </w:tc>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11%–25%</w:t>
            </w:r>
          </w:p>
        </w:tc>
        <w:tc>
          <w:tcPr>
            <w:tcW w:type="dxa" w:w="391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Reflects recent recognition/reward; low hikes may correlate with dissatisfaction.</w:t>
            </w:r>
          </w:p>
        </w:tc>
      </w:tr>
      <w:tr>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PerformanceRating</w:t>
            </w:r>
          </w:p>
        </w:tc>
        <w:tc>
          <w:tcPr>
            <w:tcW w:type="dxa" w:w="115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Categorical</w:t>
            </w:r>
          </w:p>
        </w:tc>
        <w:tc>
          <w:tcPr>
            <w:tcW w:type="dxa" w:w="13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Ordinal (3–4 present)</w:t>
            </w:r>
          </w:p>
        </w:tc>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3=Excellent, 4=Outstanding</w:t>
            </w:r>
          </w:p>
        </w:tc>
        <w:tc>
          <w:tcPr>
            <w:tcW w:type="dxa" w:w="391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Links performance to attrition — checks if top performers are the ones leaving.</w:t>
            </w:r>
          </w:p>
        </w:tc>
      </w:tr>
      <w:tr>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RelationshipSatisfaction</w:t>
            </w:r>
          </w:p>
        </w:tc>
        <w:tc>
          <w:tcPr>
            <w:tcW w:type="dxa" w:w="115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Categorical</w:t>
            </w:r>
          </w:p>
        </w:tc>
        <w:tc>
          <w:tcPr>
            <w:tcW w:type="dxa" w:w="13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Ordinal (1–4)</w:t>
            </w:r>
          </w:p>
        </w:tc>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1=Low … 4=Very High</w:t>
            </w:r>
          </w:p>
        </w:tc>
        <w:tc>
          <w:tcPr>
            <w:tcW w:type="dxa" w:w="391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Captures interpersonal workplace dynamics affecting retention.</w:t>
            </w:r>
          </w:p>
        </w:tc>
      </w:tr>
      <w:tr>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StandardHours</w:t>
            </w:r>
          </w:p>
        </w:tc>
        <w:tc>
          <w:tcPr>
            <w:tcW w:type="dxa" w:w="115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Numerical</w:t>
            </w:r>
          </w:p>
        </w:tc>
        <w:tc>
          <w:tcPr>
            <w:tcW w:type="dxa" w:w="13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Constant (=80)</w:t>
            </w:r>
          </w:p>
        </w:tc>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80</w:t>
            </w:r>
          </w:p>
        </w:tc>
        <w:tc>
          <w:tcPr>
            <w:tcW w:type="dxa" w:w="391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No variance — flagged for removal.</w:t>
            </w:r>
          </w:p>
        </w:tc>
      </w:tr>
      <w:tr>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StockOptionLevel</w:t>
            </w:r>
          </w:p>
        </w:tc>
        <w:tc>
          <w:tcPr>
            <w:tcW w:type="dxa" w:w="115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Categorical</w:t>
            </w:r>
          </w:p>
        </w:tc>
        <w:tc>
          <w:tcPr>
            <w:tcW w:type="dxa" w:w="13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Ordinal (0–3)</w:t>
            </w:r>
          </w:p>
        </w:tc>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0=None … 3=High</w:t>
            </w:r>
          </w:p>
        </w:tc>
        <w:tc>
          <w:tcPr>
            <w:tcW w:type="dxa" w:w="391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Equity-based incentives are a retention lever; useful for compensation strategy.</w:t>
            </w:r>
          </w:p>
        </w:tc>
      </w:tr>
      <w:tr>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TotalWorkingYears</w:t>
            </w:r>
          </w:p>
        </w:tc>
        <w:tc>
          <w:tcPr>
            <w:tcW w:type="dxa" w:w="115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Numerical</w:t>
            </w:r>
          </w:p>
        </w:tc>
        <w:tc>
          <w:tcPr>
            <w:tcW w:type="dxa" w:w="13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Continuous</w:t>
            </w:r>
          </w:p>
        </w:tc>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0–40</w:t>
            </w:r>
          </w:p>
        </w:tc>
        <w:tc>
          <w:tcPr>
            <w:tcW w:type="dxa" w:w="391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Overall career experience — helps separate early-career churn from senior attrition.</w:t>
            </w:r>
          </w:p>
        </w:tc>
      </w:tr>
      <w:tr>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TrainingTimesLastYear</w:t>
            </w:r>
          </w:p>
        </w:tc>
        <w:tc>
          <w:tcPr>
            <w:tcW w:type="dxa" w:w="115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Numerical</w:t>
            </w:r>
          </w:p>
        </w:tc>
        <w:tc>
          <w:tcPr>
            <w:tcW w:type="dxa" w:w="13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Discrete</w:t>
            </w:r>
          </w:p>
        </w:tc>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0–6</w:t>
            </w:r>
          </w:p>
        </w:tc>
        <w:tc>
          <w:tcPr>
            <w:tcW w:type="dxa" w:w="391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Measures investment in employee development — a potential retention lever.</w:t>
            </w:r>
          </w:p>
        </w:tc>
      </w:tr>
      <w:tr>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WorkLifeBalance</w:t>
            </w:r>
          </w:p>
        </w:tc>
        <w:tc>
          <w:tcPr>
            <w:tcW w:type="dxa" w:w="115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Categorical</w:t>
            </w:r>
          </w:p>
        </w:tc>
        <w:tc>
          <w:tcPr>
            <w:tcW w:type="dxa" w:w="13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Ordinal (1–4)</w:t>
            </w:r>
          </w:p>
        </w:tc>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1=Bad … 4=Best</w:t>
            </w:r>
          </w:p>
        </w:tc>
        <w:tc>
          <w:tcPr>
            <w:tcW w:type="dxa" w:w="391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Directly tied to burnout and voluntary exits; a key policy lever.</w:t>
            </w:r>
          </w:p>
        </w:tc>
      </w:tr>
      <w:tr>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YearsAtCompany</w:t>
            </w:r>
          </w:p>
        </w:tc>
        <w:tc>
          <w:tcPr>
            <w:tcW w:type="dxa" w:w="115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Numerical</w:t>
            </w:r>
          </w:p>
        </w:tc>
        <w:tc>
          <w:tcPr>
            <w:tcW w:type="dxa" w:w="13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Continuous</w:t>
            </w:r>
          </w:p>
        </w:tc>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0–40</w:t>
            </w:r>
          </w:p>
        </w:tc>
        <w:tc>
          <w:tcPr>
            <w:tcW w:type="dxa" w:w="391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Tenure — helps identify at what stage employees are most likely to leave.</w:t>
            </w:r>
          </w:p>
        </w:tc>
      </w:tr>
      <w:tr>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YearsInCurrentRole</w:t>
            </w:r>
          </w:p>
        </w:tc>
        <w:tc>
          <w:tcPr>
            <w:tcW w:type="dxa" w:w="115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Numerical</w:t>
            </w:r>
          </w:p>
        </w:tc>
        <w:tc>
          <w:tcPr>
            <w:tcW w:type="dxa" w:w="13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Continuous</w:t>
            </w:r>
          </w:p>
        </w:tc>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0–18</w:t>
            </w:r>
          </w:p>
        </w:tc>
        <w:tc>
          <w:tcPr>
            <w:tcW w:type="dxa" w:w="391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Role stagnation is a known driver of attrition; useful for career-pathing analysis.</w:t>
            </w:r>
          </w:p>
        </w:tc>
      </w:tr>
      <w:tr>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YearsSinceLastPromotion</w:t>
            </w:r>
          </w:p>
        </w:tc>
        <w:tc>
          <w:tcPr>
            <w:tcW w:type="dxa" w:w="115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Numerical</w:t>
            </w:r>
          </w:p>
        </w:tc>
        <w:tc>
          <w:tcPr>
            <w:tcW w:type="dxa" w:w="13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Continuous</w:t>
            </w:r>
          </w:p>
        </w:tc>
        <w:tc>
          <w:tcPr>
            <w:tcW w:type="dxa" w:w="150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0–15</w:t>
            </w:r>
          </w:p>
        </w:tc>
        <w:tc>
          <w:tcPr>
            <w:tcW w:type="dxa" w:w="3910"/>
            <w:shd w:fill="EAF1FA" w:color="auto" w:val="clear"/>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Long promotion gaps often precede attrition — informs promotion-cycle policy.</w:t>
            </w:r>
          </w:p>
        </w:tc>
      </w:tr>
      <w:tr>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YearsWithCurrManager</w:t>
            </w:r>
          </w:p>
        </w:tc>
        <w:tc>
          <w:tcPr>
            <w:tcW w:type="dxa" w:w="115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Numerical</w:t>
            </w:r>
          </w:p>
        </w:tc>
        <w:tc>
          <w:tcPr>
            <w:tcW w:type="dxa" w:w="13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Continuous</w:t>
            </w:r>
          </w:p>
        </w:tc>
        <w:tc>
          <w:tcPr>
            <w:tcW w:type="dxa" w:w="150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0–17</w:t>
            </w:r>
          </w:p>
        </w:tc>
        <w:tc>
          <w:tcPr>
            <w:tcW w:type="dxa" w:w="3910"/>
            <w:tcMar>
              <w:top w:type="dxa" w:w="80"/>
              <w:left w:type="dxa" w:w="120"/>
              <w:bottom w:type="dxa" w:w="80"/>
              <w:right w:type="dxa" w:w="120"/>
            </w:tcMar>
            <w:vAlign w:val="center"/>
          </w:tcPr>
          <w:p>
            <w:r>
              <w:rPr>
                <w:rFonts w:ascii="Calibri" w:cs="Calibri" w:eastAsia="Calibri" w:hAnsi="Calibri"/>
                <w:b w:val="false"/>
                <w:bCs w:val="false"/>
                <w:i w:val="false"/>
                <w:iCs w:val="false"/>
                <w:color w:val="000000"/>
                <w:sz w:val="17"/>
                <w:szCs w:val="17"/>
              </w:rPr>
              <w:t xml:space="preserve">Manager relationship duration/stability affects satisfaction and retention.</w:t>
            </w:r>
          </w:p>
        </w:tc>
      </w:tr>
    </w:tbl>
    <w:p>
      <w:pPr>
        <w:pStyle w:val="Heading1"/>
        <w:pBdr>
          <w:bottom w:val="single" w:color="1F3864" w:sz="6" w:space="4"/>
        </w:pBdr>
        <w:spacing w:after="160" w:before="300"/>
      </w:pPr>
      <w:r>
        <w:rPr>
          <w:rFonts w:ascii="Calibri" w:cs="Calibri" w:eastAsia="Calibri" w:hAnsi="Calibri"/>
          <w:b/>
          <w:bCs/>
          <w:color w:val="1F3864"/>
          <w:sz w:val="30"/>
          <w:szCs w:val="30"/>
        </w:rPr>
        <w:t xml:space="preserve">4. Data Quality Observations</w:t>
      </w:r>
    </w:p>
    <w:p>
      <w:pPr>
        <w:spacing w:after="160" w:line="300"/>
      </w:pPr>
      <w:r>
        <w:rPr>
          <w:rFonts w:ascii="Calibri" w:cs="Calibri" w:eastAsia="Calibri" w:hAnsi="Calibri"/>
          <w:i w:val="false"/>
          <w:iCs w:val="false"/>
          <w:color w:val="000000"/>
          <w:sz w:val="21"/>
          <w:szCs w:val="21"/>
        </w:rPr>
        <w:t xml:space="preserve">The following issues were observed during initial inspection and will be addressed in the Data Cleaning phase:</w:t>
      </w:r>
    </w:p>
    <w:p>
      <w:pPr>
        <w:pStyle w:val="ListParagraph"/>
        <w:numPr>
          <w:ilvl w:val="0"/>
          <w:numId w:val="1"/>
        </w:numPr>
        <w:spacing w:after="80" w:line="280"/>
      </w:pPr>
      <w:r>
        <w:rPr>
          <w:rFonts w:ascii="Calibri" w:cs="Calibri" w:eastAsia="Calibri" w:hAnsi="Calibri"/>
          <w:sz w:val="20"/>
          <w:szCs w:val="20"/>
        </w:rPr>
        <w:t xml:space="preserve">Three constant columns — EmployeeCount, Over18, and StandardHours — carry zero variance across all 1,470 records and add no analytical value; recommended for removal.</w:t>
      </w:r>
    </w:p>
    <w:p>
      <w:pPr>
        <w:pStyle w:val="ListParagraph"/>
        <w:numPr>
          <w:ilvl w:val="0"/>
          <w:numId w:val="1"/>
        </w:numPr>
        <w:spacing w:after="80" w:line="280"/>
      </w:pPr>
      <w:r>
        <w:rPr>
          <w:rFonts w:ascii="Calibri" w:cs="Calibri" w:eastAsia="Calibri" w:hAnsi="Calibri"/>
          <w:sz w:val="20"/>
          <w:szCs w:val="20"/>
        </w:rPr>
        <w:t xml:space="preserve">EmployeeNumber is a unique identifier only and should be excluded from statistical/modeling analysis.</w:t>
      </w:r>
    </w:p>
    <w:p>
      <w:pPr>
        <w:pStyle w:val="ListParagraph"/>
        <w:numPr>
          <w:ilvl w:val="0"/>
          <w:numId w:val="1"/>
        </w:numPr>
        <w:spacing w:after="80" w:line="280"/>
      </w:pPr>
      <w:r>
        <w:rPr>
          <w:rFonts w:ascii="Calibri" w:cs="Calibri" w:eastAsia="Calibri" w:hAnsi="Calibri"/>
          <w:sz w:val="20"/>
          <w:szCs w:val="20"/>
        </w:rPr>
        <w:t xml:space="preserve">Several integer-coded columns (Education, JobLevel, EnvironmentSatisfaction, JobInvolvement, JobSatisfaction, PerformanceRating, RelationshipSatisfaction, StockOptionLevel, WorkLifeBalance) are technically stored as numbers but are ordinal categorical in nature — this affects chart choice and statistical test selection downstream.</w:t>
      </w:r>
    </w:p>
    <w:p>
      <w:pPr>
        <w:pStyle w:val="ListParagraph"/>
        <w:numPr>
          <w:ilvl w:val="0"/>
          <w:numId w:val="1"/>
        </w:numPr>
        <w:spacing w:after="80" w:line="280"/>
      </w:pPr>
      <w:r>
        <w:rPr>
          <w:rFonts w:ascii="Calibri" w:cs="Calibri" w:eastAsia="Calibri" w:hAnsi="Calibri"/>
          <w:sz w:val="20"/>
          <w:szCs w:val="20"/>
        </w:rPr>
        <w:t xml:space="preserve">No missing values were detected in the initial scan; this will be formally verified during the cleaning step.</w:t>
      </w:r>
    </w:p>
    <w:p>
      <w:pPr>
        <w:pStyle w:val="Heading1"/>
        <w:pBdr>
          <w:bottom w:val="single" w:color="1F3864" w:sz="6" w:space="4"/>
        </w:pBdr>
        <w:spacing w:after="160" w:before="300"/>
      </w:pPr>
      <w:r>
        <w:rPr>
          <w:rFonts w:ascii="Calibri" w:cs="Calibri" w:eastAsia="Calibri" w:hAnsi="Calibri"/>
          <w:b/>
          <w:bCs/>
          <w:color w:val="1F3864"/>
          <w:sz w:val="30"/>
          <w:szCs w:val="30"/>
        </w:rPr>
        <w:t xml:space="preserve">5. Next Steps</w:t>
      </w:r>
    </w:p>
    <w:p>
      <w:pPr>
        <w:spacing w:after="160" w:line="300"/>
      </w:pPr>
      <w:r>
        <w:rPr>
          <w:rFonts w:ascii="Calibri" w:cs="Calibri" w:eastAsia="Calibri" w:hAnsi="Calibri"/>
          <w:i w:val="false"/>
          <w:iCs w:val="false"/>
          <w:color w:val="000000"/>
          <w:sz w:val="21"/>
          <w:szCs w:val="21"/>
        </w:rPr>
        <w:t xml:space="preserve">With the dataset structure fully documented, the project proceeds to Step 2: Data Cleaning — handling any data quality issues, standardizing formats, and preparing the dataset for exploratory data analysis (EDA).</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Employee Attrition Analysis — Data Dictionary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2026-07-04T06:42:28.434Z</dcterms:created>
  <dcterms:modified xsi:type="dcterms:W3CDTF">2026-07-04T06:42:28.434Z</dcterms:modified>
</cp:coreProperties>
</file>

<file path=docProps/custom.xml><?xml version="1.0" encoding="utf-8"?>
<Properties xmlns="http://schemas.openxmlformats.org/officeDocument/2006/custom-properties" xmlns:vt="http://schemas.openxmlformats.org/officeDocument/2006/docPropsVTypes"/>
</file>