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0"/>
          <w:szCs w:val="40"/>
        </w:rPr>
        <w:t xml:space="preserve">EMPLOYEE ATTRITION ANALYSIS PROJECT</w:t>
      </w:r>
    </w:p>
    <w:p>
      <w:pPr>
        <w:spacing w:after="40"/>
        <w:jc w:val="center"/>
      </w:pPr>
      <w:r>
        <w:rPr>
          <w:rFonts w:ascii="Calibri" w:cs="Calibri" w:eastAsia="Calibri" w:hAnsi="Calibri"/>
          <w:b/>
          <w:bCs/>
          <w:color w:val="2E75B6"/>
          <w:sz w:val="28"/>
          <w:szCs w:val="28"/>
        </w:rPr>
        <w:t xml:space="preserve">HR Key Performance Indicators (KPI) Report</w:t>
      </w:r>
    </w:p>
    <w:p>
      <w:pPr>
        <w:pBdr>
          <w:bottom w:val="single" w:color="2E75B6" w:sz="12" w:space="6"/>
        </w:pBdr>
        <w:spacing w:after="300"/>
        <w:jc w:val="center"/>
      </w:pPr>
      <w:r>
        <w:rPr>
          <w:rFonts w:ascii="Calibri" w:cs="Calibri" w:eastAsia="Calibri" w:hAnsi="Calibri"/>
          <w:i/>
          <w:iCs/>
          <w:color w:val="595959"/>
          <w:sz w:val="20"/>
          <w:szCs w:val="20"/>
        </w:rPr>
        <w:t xml:space="preserve">Phase 5: Core Metrics &amp; Segment KPIs</w:t>
      </w:r>
    </w:p>
    <w:p>
      <w:pPr>
        <w:pStyle w:val="Heading1"/>
        <w:pBdr>
          <w:bottom w:val="single" w:color="1F3864" w:sz="6" w:space="4"/>
        </w:pBdr>
        <w:spacing w:after="160" w:before="320"/>
      </w:pPr>
      <w:r>
        <w:rPr>
          <w:rFonts w:ascii="Calibri" w:cs="Calibri" w:eastAsia="Calibri" w:hAnsi="Calibri"/>
          <w:b/>
          <w:bCs/>
          <w:color w:val="1F3864"/>
          <w:sz w:val="30"/>
          <w:szCs w:val="30"/>
        </w:rPr>
        <w:t xml:space="preserve">1. Core KPI Scorecard</w:t>
      </w:r>
    </w:p>
    <w:p>
      <w:pPr>
        <w:spacing w:after="160" w:line="300"/>
      </w:pPr>
      <w:r>
        <w:rPr>
          <w:rFonts w:ascii="Calibri" w:cs="Calibri" w:eastAsia="Calibri" w:hAnsi="Calibri"/>
          <w:sz w:val="21"/>
          <w:szCs w:val="21"/>
        </w:rPr>
        <w:t xml:space="preserve">At-a-glance company-wide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9EC" w:sz="4"/>
              <w:left w:val="single" w:color="C7D9EC" w:sz="4"/>
              <w:bottom w:val="single" w:color="C7D9EC" w:sz="4"/>
              <w:right w:val="single" w:color="C7D9EC" w:sz="4"/>
            </w:tcBorders>
            <w:shd w:fill="F4F8FC" w:color="auto" w:val="clear"/>
            <w:tcMar>
              <w:top w:type="dxa" w:w="200"/>
              <w:left w:type="dxa" w:w="120"/>
              <w:bottom w:type="dxa" w:w="200"/>
              <w:right w:type="dxa" w:w="120"/>
            </w:tcMar>
          </w:tcPr>
          <w:p>
            <w:pPr>
              <w:spacing w:after="60"/>
              <w:jc w:val="center"/>
            </w:pPr>
            <w:r>
              <w:rPr>
                <w:rFonts w:ascii="Calibri" w:cs="Calibri" w:eastAsia="Calibri" w:hAnsi="Calibri"/>
                <w:b/>
                <w:bCs/>
                <w:color w:val="1F3864"/>
                <w:sz w:val="34"/>
                <w:szCs w:val="34"/>
              </w:rPr>
              <w:t xml:space="preserve">1,470</w:t>
            </w:r>
          </w:p>
          <w:p>
            <w:pPr>
              <w:jc w:val="center"/>
            </w:pPr>
            <w:r>
              <w:rPr>
                <w:rFonts w:ascii="Calibri" w:cs="Calibri" w:eastAsia="Calibri" w:hAnsi="Calibri"/>
                <w:color w:val="595959"/>
                <w:sz w:val="17"/>
                <w:szCs w:val="17"/>
              </w:rPr>
              <w:t xml:space="preserve">Total Employees</w:t>
            </w:r>
          </w:p>
        </w:tc>
        <w:tc>
          <w:tcPr>
            <w:tcW w:type="dxa" w:w="3120"/>
            <w:tcBorders>
              <w:top w:val="single" w:color="C7D9EC" w:sz="4"/>
              <w:left w:val="single" w:color="C7D9EC" w:sz="4"/>
              <w:bottom w:val="single" w:color="C7D9EC" w:sz="4"/>
              <w:right w:val="single" w:color="C7D9EC" w:sz="4"/>
            </w:tcBorders>
            <w:shd w:fill="F4F8FC" w:color="auto" w:val="clear"/>
            <w:tcMar>
              <w:top w:type="dxa" w:w="200"/>
              <w:left w:type="dxa" w:w="120"/>
              <w:bottom w:type="dxa" w:w="200"/>
              <w:right w:type="dxa" w:w="120"/>
            </w:tcMar>
          </w:tcPr>
          <w:p>
            <w:pPr>
              <w:spacing w:after="60"/>
              <w:jc w:val="center"/>
            </w:pPr>
            <w:r>
              <w:rPr>
                <w:rFonts w:ascii="Calibri" w:cs="Calibri" w:eastAsia="Calibri" w:hAnsi="Calibri"/>
                <w:b/>
                <w:bCs/>
                <w:color w:val="1F3864"/>
                <w:sz w:val="34"/>
                <w:szCs w:val="34"/>
              </w:rPr>
              <w:t xml:space="preserve">237</w:t>
            </w:r>
          </w:p>
          <w:p>
            <w:pPr>
              <w:jc w:val="center"/>
            </w:pPr>
            <w:r>
              <w:rPr>
                <w:rFonts w:ascii="Calibri" w:cs="Calibri" w:eastAsia="Calibri" w:hAnsi="Calibri"/>
                <w:color w:val="595959"/>
                <w:sz w:val="17"/>
                <w:szCs w:val="17"/>
              </w:rPr>
              <w:t xml:space="preserve">Total Attrition</w:t>
            </w:r>
          </w:p>
        </w:tc>
        <w:tc>
          <w:tcPr>
            <w:tcW w:type="dxa" w:w="3120"/>
            <w:tcBorders>
              <w:top w:val="single" w:color="C7D9EC" w:sz="4"/>
              <w:left w:val="single" w:color="C7D9EC" w:sz="4"/>
              <w:bottom w:val="single" w:color="C7D9EC" w:sz="4"/>
              <w:right w:val="single" w:color="C7D9EC" w:sz="4"/>
            </w:tcBorders>
            <w:shd w:fill="F4F8FC" w:color="auto" w:val="clear"/>
            <w:tcMar>
              <w:top w:type="dxa" w:w="200"/>
              <w:left w:type="dxa" w:w="120"/>
              <w:bottom w:type="dxa" w:w="200"/>
              <w:right w:type="dxa" w:w="120"/>
            </w:tcMar>
          </w:tcPr>
          <w:p>
            <w:pPr>
              <w:spacing w:after="60"/>
              <w:jc w:val="center"/>
            </w:pPr>
            <w:r>
              <w:rPr>
                <w:rFonts w:ascii="Calibri" w:cs="Calibri" w:eastAsia="Calibri" w:hAnsi="Calibri"/>
                <w:b/>
                <w:bCs/>
                <w:color w:val="1F3864"/>
                <w:sz w:val="34"/>
                <w:szCs w:val="34"/>
              </w:rPr>
              <w:t xml:space="preserve">16.12%</w:t>
            </w:r>
          </w:p>
          <w:p>
            <w:pPr>
              <w:jc w:val="center"/>
            </w:pPr>
            <w:r>
              <w:rPr>
                <w:rFonts w:ascii="Calibri" w:cs="Calibri" w:eastAsia="Calibri" w:hAnsi="Calibri"/>
                <w:color w:val="595959"/>
                <w:sz w:val="17"/>
                <w:szCs w:val="17"/>
              </w:rPr>
              <w:t xml:space="preserve">Attrition Rate</w:t>
            </w:r>
          </w:p>
        </w:tc>
      </w:tr>
      <w:tr>
        <w:tc>
          <w:tcPr>
            <w:tcW w:type="dxa" w:w="3120"/>
            <w:tcBorders>
              <w:top w:val="single" w:color="C7D9EC" w:sz="4"/>
              <w:left w:val="single" w:color="C7D9EC" w:sz="4"/>
              <w:bottom w:val="single" w:color="C7D9EC" w:sz="4"/>
              <w:right w:val="single" w:color="C7D9EC" w:sz="4"/>
            </w:tcBorders>
            <w:shd w:fill="F4F8FC" w:color="auto" w:val="clear"/>
            <w:tcMar>
              <w:top w:type="dxa" w:w="200"/>
              <w:left w:type="dxa" w:w="120"/>
              <w:bottom w:type="dxa" w:w="200"/>
              <w:right w:type="dxa" w:w="120"/>
            </w:tcMar>
          </w:tcPr>
          <w:p>
            <w:pPr>
              <w:spacing w:after="60"/>
              <w:jc w:val="center"/>
            </w:pPr>
            <w:r>
              <w:rPr>
                <w:rFonts w:ascii="Calibri" w:cs="Calibri" w:eastAsia="Calibri" w:hAnsi="Calibri"/>
                <w:b/>
                <w:bCs/>
                <w:color w:val="1F3864"/>
                <w:sz w:val="34"/>
                <w:szCs w:val="34"/>
              </w:rPr>
              <w:t xml:space="preserve">$6,502.93</w:t>
            </w:r>
          </w:p>
          <w:p>
            <w:pPr>
              <w:jc w:val="center"/>
            </w:pPr>
            <w:r>
              <w:rPr>
                <w:rFonts w:ascii="Calibri" w:cs="Calibri" w:eastAsia="Calibri" w:hAnsi="Calibri"/>
                <w:color w:val="595959"/>
                <w:sz w:val="17"/>
                <w:szCs w:val="17"/>
              </w:rPr>
              <w:t xml:space="preserve">Avg. Monthly Income</w:t>
            </w:r>
          </w:p>
        </w:tc>
        <w:tc>
          <w:tcPr>
            <w:tcW w:type="dxa" w:w="3120"/>
            <w:tcBorders>
              <w:top w:val="single" w:color="C7D9EC" w:sz="4"/>
              <w:left w:val="single" w:color="C7D9EC" w:sz="4"/>
              <w:bottom w:val="single" w:color="C7D9EC" w:sz="4"/>
              <w:right w:val="single" w:color="C7D9EC" w:sz="4"/>
            </w:tcBorders>
            <w:shd w:fill="F4F8FC" w:color="auto" w:val="clear"/>
            <w:tcMar>
              <w:top w:type="dxa" w:w="200"/>
              <w:left w:type="dxa" w:w="120"/>
              <w:bottom w:type="dxa" w:w="200"/>
              <w:right w:type="dxa" w:w="120"/>
            </w:tcMar>
          </w:tcPr>
          <w:p>
            <w:pPr>
              <w:spacing w:after="60"/>
              <w:jc w:val="center"/>
            </w:pPr>
            <w:r>
              <w:rPr>
                <w:rFonts w:ascii="Calibri" w:cs="Calibri" w:eastAsia="Calibri" w:hAnsi="Calibri"/>
                <w:b/>
                <w:bCs/>
                <w:color w:val="1F3864"/>
                <w:sz w:val="34"/>
                <w:szCs w:val="34"/>
              </w:rPr>
              <w:t xml:space="preserve">36.9 yrs</w:t>
            </w:r>
          </w:p>
          <w:p>
            <w:pPr>
              <w:jc w:val="center"/>
            </w:pPr>
            <w:r>
              <w:rPr>
                <w:rFonts w:ascii="Calibri" w:cs="Calibri" w:eastAsia="Calibri" w:hAnsi="Calibri"/>
                <w:color w:val="595959"/>
                <w:sz w:val="17"/>
                <w:szCs w:val="17"/>
              </w:rPr>
              <w:t xml:space="preserve">Average Age</w:t>
            </w:r>
          </w:p>
        </w:tc>
        <w:tc>
          <w:tcPr>
            <w:tcW w:type="dxa" w:w="3120"/>
            <w:tcBorders>
              <w:top w:val="single" w:color="C7D9EC" w:sz="4"/>
              <w:left w:val="single" w:color="C7D9EC" w:sz="4"/>
              <w:bottom w:val="single" w:color="C7D9EC" w:sz="4"/>
              <w:right w:val="single" w:color="C7D9EC" w:sz="4"/>
            </w:tcBorders>
            <w:shd w:fill="F4F8FC" w:color="auto" w:val="clear"/>
            <w:tcMar>
              <w:top w:type="dxa" w:w="200"/>
              <w:left w:type="dxa" w:w="120"/>
              <w:bottom w:type="dxa" w:w="200"/>
              <w:right w:type="dxa" w:w="120"/>
            </w:tcMar>
          </w:tcPr>
          <w:p>
            <w:pPr>
              <w:spacing w:after="60"/>
              <w:jc w:val="center"/>
            </w:pPr>
            <w:r>
              <w:rPr>
                <w:rFonts w:ascii="Calibri" w:cs="Calibri" w:eastAsia="Calibri" w:hAnsi="Calibri"/>
                <w:b/>
                <w:bCs/>
                <w:color w:val="1F3864"/>
                <w:sz w:val="34"/>
                <w:szCs w:val="34"/>
              </w:rPr>
              <w:t xml:space="preserve">7.01 yrs</w:t>
            </w:r>
          </w:p>
          <w:p>
            <w:pPr>
              <w:jc w:val="center"/>
            </w:pPr>
            <w:r>
              <w:rPr>
                <w:rFonts w:ascii="Calibri" w:cs="Calibri" w:eastAsia="Calibri" w:hAnsi="Calibri"/>
                <w:color w:val="595959"/>
                <w:sz w:val="17"/>
                <w:szCs w:val="17"/>
              </w:rPr>
              <w:t xml:space="preserve">Avg. Years at Company</w:t>
            </w:r>
          </w:p>
        </w:tc>
      </w:tr>
    </w:tbl>
    <w:p>
      <w:pPr>
        <w:spacing w:after="200"/>
      </w:pPr>
      <w:r>
        <w:rPr>
          <w:sz w:val="2"/>
          <w:szCs w:val="2"/>
        </w:rPr>
        <w:t xml:space="preserve"/>
      </w:r>
    </w:p>
    <w:p>
      <w:pPr>
        <w:pStyle w:val="Heading1"/>
        <w:pBdr>
          <w:bottom w:val="single" w:color="1F3864" w:sz="6" w:space="4"/>
        </w:pBdr>
        <w:spacing w:after="160" w:before="320"/>
      </w:pPr>
      <w:r>
        <w:rPr>
          <w:rFonts w:ascii="Calibri" w:cs="Calibri" w:eastAsia="Calibri" w:hAnsi="Calibri"/>
          <w:b/>
          <w:bCs/>
          <w:color w:val="1F3864"/>
          <w:sz w:val="30"/>
          <w:szCs w:val="30"/>
        </w:rPr>
        <w:t xml:space="preserve">2. KPI Definitions &amp; Business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shd w:fill="1F3864"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KPI</w:t>
            </w:r>
          </w:p>
        </w:tc>
        <w:tc>
          <w:tcPr>
            <w:tcW w:type="dxa" w:w="1600"/>
            <w:shd w:fill="1F3864"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Value</w:t>
            </w:r>
          </w:p>
        </w:tc>
        <w:tc>
          <w:tcPr>
            <w:tcW w:type="dxa" w:w="5360"/>
            <w:shd w:fill="1F3864"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What It Tells You</w:t>
            </w:r>
          </w:p>
        </w:tc>
      </w:tr>
      <w:tr>
        <w:tc>
          <w:tcPr>
            <w:tcW w:type="dxa" w:w="2400"/>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Total Employees</w:t>
            </w:r>
          </w:p>
        </w:tc>
        <w:tc>
          <w:tcPr>
            <w:tcW w:type="dxa" w:w="160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1,470</w:t>
            </w:r>
          </w:p>
        </w:tc>
        <w:tc>
          <w:tcPr>
            <w:tcW w:type="dxa" w:w="5360"/>
            <w:tcMar>
              <w:top w:type="dxa" w:w="90"/>
              <w:left w:type="dxa" w:w="130"/>
              <w:bottom w:type="dxa" w:w="90"/>
              <w:right w:type="dxa" w:w="130"/>
            </w:tcMar>
            <w:vAlign w:val="center"/>
          </w:tcPr>
          <w:p>
            <w:pPr>
              <w:jc w:val="left"/>
            </w:pPr>
            <w:r>
              <w:rPr>
                <w:rFonts w:ascii="Calibri" w:cs="Calibri" w:eastAsia="Calibri" w:hAnsi="Calibri"/>
                <w:b w:val="false"/>
                <w:bCs w:val="false"/>
                <w:color w:val="000000"/>
                <w:sz w:val="19"/>
                <w:szCs w:val="19"/>
              </w:rPr>
              <w:t xml:space="preserve">The total active/historical workforce captured in this dataset — the base against which every rate below is calculated.</w:t>
            </w:r>
          </w:p>
        </w:tc>
      </w:tr>
      <w:tr>
        <w:tc>
          <w:tcPr>
            <w:tcW w:type="dxa" w:w="2400"/>
            <w:shd w:fill="EAF1FA" w:color="auto" w:val="clear"/>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Total Attrition</w:t>
            </w:r>
          </w:p>
        </w:tc>
        <w:tc>
          <w:tcPr>
            <w:tcW w:type="dxa" w:w="160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237</w:t>
            </w:r>
          </w:p>
        </w:tc>
        <w:tc>
          <w:tcPr>
            <w:tcW w:type="dxa" w:w="5360"/>
            <w:shd w:fill="EAF1FA"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000000"/>
                <w:sz w:val="19"/>
                <w:szCs w:val="19"/>
              </w:rPr>
              <w:t xml:space="preserve">The absolute number of employees who left. Each one represents a real hiring, onboarding, and productivity-loss cost.</w:t>
            </w:r>
          </w:p>
        </w:tc>
      </w:tr>
      <w:tr>
        <w:tc>
          <w:tcPr>
            <w:tcW w:type="dxa" w:w="2400"/>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Attrition Rate</w:t>
            </w:r>
          </w:p>
        </w:tc>
        <w:tc>
          <w:tcPr>
            <w:tcW w:type="dxa" w:w="160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16.12%</w:t>
            </w:r>
          </w:p>
        </w:tc>
        <w:tc>
          <w:tcPr>
            <w:tcW w:type="dxa" w:w="5360"/>
            <w:tcMar>
              <w:top w:type="dxa" w:w="90"/>
              <w:left w:type="dxa" w:w="130"/>
              <w:bottom w:type="dxa" w:w="90"/>
              <w:right w:type="dxa" w:w="130"/>
            </w:tcMar>
            <w:vAlign w:val="center"/>
          </w:tcPr>
          <w:p>
            <w:pPr>
              <w:jc w:val="left"/>
            </w:pPr>
            <w:r>
              <w:rPr>
                <w:rFonts w:ascii="Calibri" w:cs="Calibri" w:eastAsia="Calibri" w:hAnsi="Calibri"/>
                <w:b w:val="false"/>
                <w:bCs w:val="false"/>
                <w:color w:val="000000"/>
                <w:sz w:val="19"/>
                <w:szCs w:val="19"/>
              </w:rPr>
              <w:t xml:space="preserve">The single most important HR health metric here: roughly 1 in every 6 employees left. This is the benchmark every department, role, or policy should be judged against.</w:t>
            </w:r>
          </w:p>
        </w:tc>
      </w:tr>
      <w:tr>
        <w:tc>
          <w:tcPr>
            <w:tcW w:type="dxa" w:w="2400"/>
            <w:shd w:fill="EAF1FA" w:color="auto" w:val="clear"/>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Average Monthly Income</w:t>
            </w:r>
          </w:p>
        </w:tc>
        <w:tc>
          <w:tcPr>
            <w:tcW w:type="dxa" w:w="160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$6,502.93</w:t>
            </w:r>
          </w:p>
        </w:tc>
        <w:tc>
          <w:tcPr>
            <w:tcW w:type="dxa" w:w="5360"/>
            <w:shd w:fill="EAF1FA"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000000"/>
                <w:sz w:val="19"/>
                <w:szCs w:val="19"/>
              </w:rPr>
              <w:t xml:space="preserve">The typical pay level company-wide. Useful for compensation planning and for spotting whether leavers skew below this line (they do).</w:t>
            </w:r>
          </w:p>
        </w:tc>
      </w:tr>
      <w:tr>
        <w:tc>
          <w:tcPr>
            <w:tcW w:type="dxa" w:w="2400"/>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Average Age</w:t>
            </w:r>
          </w:p>
        </w:tc>
        <w:tc>
          <w:tcPr>
            <w:tcW w:type="dxa" w:w="160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36.9 years</w:t>
            </w:r>
          </w:p>
        </w:tc>
        <w:tc>
          <w:tcPr>
            <w:tcW w:type="dxa" w:w="5360"/>
            <w:tcMar>
              <w:top w:type="dxa" w:w="90"/>
              <w:left w:type="dxa" w:w="130"/>
              <w:bottom w:type="dxa" w:w="90"/>
              <w:right w:type="dxa" w:w="130"/>
            </w:tcMar>
            <w:vAlign w:val="center"/>
          </w:tcPr>
          <w:p>
            <w:pPr>
              <w:jc w:val="left"/>
            </w:pPr>
            <w:r>
              <w:rPr>
                <w:rFonts w:ascii="Calibri" w:cs="Calibri" w:eastAsia="Calibri" w:hAnsi="Calibri"/>
                <w:b w:val="false"/>
                <w:bCs w:val="false"/>
                <w:color w:val="000000"/>
                <w:sz w:val="19"/>
                <w:szCs w:val="19"/>
              </w:rPr>
              <w:t xml:space="preserve">Indicates a moderately experienced, mid-career workforce overall — useful context given attrition is concentrated in the youngest segment.</w:t>
            </w:r>
          </w:p>
        </w:tc>
      </w:tr>
      <w:tr>
        <w:tc>
          <w:tcPr>
            <w:tcW w:type="dxa" w:w="2400"/>
            <w:shd w:fill="EAF1FA" w:color="auto" w:val="clear"/>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Average Years at Company</w:t>
            </w:r>
          </w:p>
        </w:tc>
        <w:tc>
          <w:tcPr>
            <w:tcW w:type="dxa" w:w="160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7.01 years</w:t>
            </w:r>
          </w:p>
        </w:tc>
        <w:tc>
          <w:tcPr>
            <w:tcW w:type="dxa" w:w="5360"/>
            <w:shd w:fill="EAF1FA"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000000"/>
                <w:sz w:val="19"/>
                <w:szCs w:val="19"/>
              </w:rPr>
              <w:t xml:space="preserve">Typical tenure across the workforce. Loyalty is generally healthy company-wide, even though new hires (0-2 yrs) are the highest-risk group.</w:t>
            </w:r>
          </w:p>
        </w:tc>
      </w:tr>
    </w:tbl>
    <w:p>
      <w:pPr>
        <w:pStyle w:val="Heading1"/>
        <w:pBdr>
          <w:bottom w:val="single" w:color="1F3864" w:sz="6" w:space="4"/>
        </w:pBdr>
        <w:spacing w:after="160" w:before="320"/>
      </w:pPr>
      <w:r>
        <w:rPr>
          <w:rFonts w:ascii="Calibri" w:cs="Calibri" w:eastAsia="Calibri" w:hAnsi="Calibri"/>
          <w:b/>
          <w:bCs/>
          <w:color w:val="1F3864"/>
          <w:sz w:val="30"/>
          <w:szCs w:val="30"/>
        </w:rPr>
        <w:t xml:space="preserve">3. Department-Wise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Department</w:t>
            </w:r>
          </w:p>
        </w:tc>
        <w:tc>
          <w:tcPr>
            <w:tcW w:type="dxa" w:w="208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Total Employees</w:t>
            </w:r>
          </w:p>
        </w:tc>
        <w:tc>
          <w:tcPr>
            <w:tcW w:type="dxa" w:w="208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Left</w:t>
            </w:r>
          </w:p>
        </w:tc>
        <w:tc>
          <w:tcPr>
            <w:tcW w:type="dxa" w:w="208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Attrition Rate</w:t>
            </w:r>
          </w:p>
        </w:tc>
      </w:tr>
      <w:tr>
        <w:tc>
          <w:tcPr>
            <w:tcW w:type="dxa" w:w="3120"/>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Sales</w:t>
            </w:r>
          </w:p>
        </w:tc>
        <w:tc>
          <w:tcPr>
            <w:tcW w:type="dxa" w:w="20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446</w:t>
            </w:r>
          </w:p>
        </w:tc>
        <w:tc>
          <w:tcPr>
            <w:tcW w:type="dxa" w:w="20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92</w:t>
            </w:r>
          </w:p>
        </w:tc>
        <w:tc>
          <w:tcPr>
            <w:tcW w:type="dxa" w:w="2080"/>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20.63%</w:t>
            </w:r>
          </w:p>
        </w:tc>
      </w:tr>
      <w:tr>
        <w:tc>
          <w:tcPr>
            <w:tcW w:type="dxa" w:w="3120"/>
            <w:shd w:fill="EAF1FA" w:color="auto" w:val="clear"/>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Human Resources</w:t>
            </w:r>
          </w:p>
        </w:tc>
        <w:tc>
          <w:tcPr>
            <w:tcW w:type="dxa" w:w="208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63</w:t>
            </w:r>
          </w:p>
        </w:tc>
        <w:tc>
          <w:tcPr>
            <w:tcW w:type="dxa" w:w="208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12</w:t>
            </w:r>
          </w:p>
        </w:tc>
        <w:tc>
          <w:tcPr>
            <w:tcW w:type="dxa" w:w="2080"/>
            <w:shd w:fill="EAF1FA" w:color="auto" w:val="clear"/>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19.05%</w:t>
            </w:r>
          </w:p>
        </w:tc>
      </w:tr>
      <w:tr>
        <w:tc>
          <w:tcPr>
            <w:tcW w:type="dxa" w:w="3120"/>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Research &amp; Development</w:t>
            </w:r>
          </w:p>
        </w:tc>
        <w:tc>
          <w:tcPr>
            <w:tcW w:type="dxa" w:w="20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961</w:t>
            </w:r>
          </w:p>
        </w:tc>
        <w:tc>
          <w:tcPr>
            <w:tcW w:type="dxa" w:w="20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133</w:t>
            </w:r>
          </w:p>
        </w:tc>
        <w:tc>
          <w:tcPr>
            <w:tcW w:type="dxa" w:w="2080"/>
            <w:tcMar>
              <w:top w:type="dxa" w:w="90"/>
              <w:left w:type="dxa" w:w="130"/>
              <w:bottom w:type="dxa" w:w="90"/>
              <w:right w:type="dxa" w:w="130"/>
            </w:tcMar>
            <w:vAlign w:val="center"/>
          </w:tcPr>
          <w:p>
            <w:pPr>
              <w:jc w:val="center"/>
            </w:pPr>
            <w:r>
              <w:rPr>
                <w:rFonts w:ascii="Calibri" w:cs="Calibri" w:eastAsia="Calibri" w:hAnsi="Calibri"/>
                <w:b/>
                <w:bCs/>
                <w:color w:val="2E7D32"/>
                <w:sz w:val="19"/>
                <w:szCs w:val="19"/>
              </w:rPr>
              <w:t xml:space="preserve">13.84%</w:t>
            </w:r>
          </w:p>
        </w:tc>
      </w:tr>
    </w:tbl>
    <w:p>
      <w:pPr>
        <w:spacing w:after="160" w:line="300"/>
      </w:pPr>
      <w:r>
        <w:rPr>
          <w:rFonts w:ascii="Calibri" w:cs="Calibri" w:eastAsia="Calibri" w:hAnsi="Calibri"/>
          <w:sz w:val="21"/>
          <w:szCs w:val="21"/>
        </w:rPr>
        <w:t xml:space="preserve">Business meaning: Sales has both the highest attrition rate and a large enough headcount (446) to drive a meaningful share of total turnover — 92 of the company's 237 departures came from Sales alone. Research &amp; Development, despite housing nearly two-thirds of the workforce, has the lowest rate, suggesting stronger retention dynamics there (career paths, team stability).</w:t>
      </w:r>
    </w:p>
    <w:p>
      <w:pPr>
        <w:pStyle w:val="Heading1"/>
        <w:pBdr>
          <w:bottom w:val="single" w:color="1F3864" w:sz="6" w:space="4"/>
        </w:pBdr>
        <w:spacing w:after="160" w:before="320"/>
      </w:pPr>
      <w:r>
        <w:rPr>
          <w:rFonts w:ascii="Calibri" w:cs="Calibri" w:eastAsia="Calibri" w:hAnsi="Calibri"/>
          <w:b/>
          <w:bCs/>
          <w:color w:val="1F3864"/>
          <w:sz w:val="30"/>
          <w:szCs w:val="30"/>
        </w:rPr>
        <w:t xml:space="preserve">4. Gender-Wise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Gender</w:t>
            </w:r>
          </w:p>
        </w:tc>
        <w:tc>
          <w:tcPr>
            <w:tcW w:type="dxa" w:w="208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Total Employees</w:t>
            </w:r>
          </w:p>
        </w:tc>
        <w:tc>
          <w:tcPr>
            <w:tcW w:type="dxa" w:w="208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Left</w:t>
            </w:r>
          </w:p>
        </w:tc>
        <w:tc>
          <w:tcPr>
            <w:tcW w:type="dxa" w:w="208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Attrition Rate</w:t>
            </w:r>
          </w:p>
        </w:tc>
      </w:tr>
      <w:tr>
        <w:tc>
          <w:tcPr>
            <w:tcW w:type="dxa" w:w="3120"/>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Male</w:t>
            </w:r>
          </w:p>
        </w:tc>
        <w:tc>
          <w:tcPr>
            <w:tcW w:type="dxa" w:w="20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882</w:t>
            </w:r>
          </w:p>
        </w:tc>
        <w:tc>
          <w:tcPr>
            <w:tcW w:type="dxa" w:w="20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150</w:t>
            </w:r>
          </w:p>
        </w:tc>
        <w:tc>
          <w:tcPr>
            <w:tcW w:type="dxa" w:w="2080"/>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17.01%</w:t>
            </w:r>
          </w:p>
        </w:tc>
      </w:tr>
      <w:tr>
        <w:tc>
          <w:tcPr>
            <w:tcW w:type="dxa" w:w="3120"/>
            <w:shd w:fill="EAF1FA" w:color="auto" w:val="clear"/>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Female</w:t>
            </w:r>
          </w:p>
        </w:tc>
        <w:tc>
          <w:tcPr>
            <w:tcW w:type="dxa" w:w="208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588</w:t>
            </w:r>
          </w:p>
        </w:tc>
        <w:tc>
          <w:tcPr>
            <w:tcW w:type="dxa" w:w="208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87</w:t>
            </w:r>
          </w:p>
        </w:tc>
        <w:tc>
          <w:tcPr>
            <w:tcW w:type="dxa" w:w="2080"/>
            <w:shd w:fill="EAF1FA" w:color="auto" w:val="clear"/>
            <w:tcMar>
              <w:top w:type="dxa" w:w="90"/>
              <w:left w:type="dxa" w:w="130"/>
              <w:bottom w:type="dxa" w:w="90"/>
              <w:right w:type="dxa" w:w="130"/>
            </w:tcMar>
            <w:vAlign w:val="center"/>
          </w:tcPr>
          <w:p>
            <w:pPr>
              <w:jc w:val="center"/>
            </w:pPr>
            <w:r>
              <w:rPr>
                <w:rFonts w:ascii="Calibri" w:cs="Calibri" w:eastAsia="Calibri" w:hAnsi="Calibri"/>
                <w:b/>
                <w:bCs/>
                <w:color w:val="2E7D32"/>
                <w:sz w:val="19"/>
                <w:szCs w:val="19"/>
              </w:rPr>
              <w:t xml:space="preserve">14.80%</w:t>
            </w:r>
          </w:p>
        </w:tc>
      </w:tr>
    </w:tbl>
    <w:p>
      <w:pPr>
        <w:spacing w:after="160" w:line="300"/>
      </w:pPr>
      <w:r>
        <w:rPr>
          <w:rFonts w:ascii="Calibri" w:cs="Calibri" w:eastAsia="Calibri" w:hAnsi="Calibri"/>
          <w:sz w:val="21"/>
          <w:szCs w:val="21"/>
        </w:rPr>
        <w:t xml:space="preserve">Business meaning: The gap (2.2 points) is small enough that gender is not a meaningful attrition driver on its own — retention strategy does not need a gender-specific track.</w:t>
      </w:r>
    </w:p>
    <w:p>
      <w:pPr>
        <w:pStyle w:val="Heading1"/>
        <w:pBdr>
          <w:bottom w:val="single" w:color="1F3864" w:sz="6" w:space="4"/>
        </w:pBdr>
        <w:spacing w:after="160" w:before="320"/>
      </w:pPr>
      <w:r>
        <w:rPr>
          <w:rFonts w:ascii="Calibri" w:cs="Calibri" w:eastAsia="Calibri" w:hAnsi="Calibri"/>
          <w:b/>
          <w:bCs/>
          <w:color w:val="1F3864"/>
          <w:sz w:val="30"/>
          <w:szCs w:val="30"/>
        </w:rPr>
        <w:t xml:space="preserve">5. Overtime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OverTime</w:t>
            </w:r>
          </w:p>
        </w:tc>
        <w:tc>
          <w:tcPr>
            <w:tcW w:type="dxa" w:w="208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Total Employees</w:t>
            </w:r>
          </w:p>
        </w:tc>
        <w:tc>
          <w:tcPr>
            <w:tcW w:type="dxa" w:w="208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Left</w:t>
            </w:r>
          </w:p>
        </w:tc>
        <w:tc>
          <w:tcPr>
            <w:tcW w:type="dxa" w:w="2080"/>
            <w:shd w:fill="2E75B6"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Attrition Rate</w:t>
            </w:r>
          </w:p>
        </w:tc>
      </w:tr>
      <w:tr>
        <w:tc>
          <w:tcPr>
            <w:tcW w:type="dxa" w:w="3120"/>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Yes</w:t>
            </w:r>
          </w:p>
        </w:tc>
        <w:tc>
          <w:tcPr>
            <w:tcW w:type="dxa" w:w="20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416</w:t>
            </w:r>
          </w:p>
        </w:tc>
        <w:tc>
          <w:tcPr>
            <w:tcW w:type="dxa" w:w="20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127</w:t>
            </w:r>
          </w:p>
        </w:tc>
        <w:tc>
          <w:tcPr>
            <w:tcW w:type="dxa" w:w="2080"/>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30.53%</w:t>
            </w:r>
          </w:p>
        </w:tc>
      </w:tr>
      <w:tr>
        <w:tc>
          <w:tcPr>
            <w:tcW w:type="dxa" w:w="3120"/>
            <w:shd w:fill="EAF1FA" w:color="auto" w:val="clear"/>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No</w:t>
            </w:r>
          </w:p>
        </w:tc>
        <w:tc>
          <w:tcPr>
            <w:tcW w:type="dxa" w:w="208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1,054</w:t>
            </w:r>
          </w:p>
        </w:tc>
        <w:tc>
          <w:tcPr>
            <w:tcW w:type="dxa" w:w="208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110</w:t>
            </w:r>
          </w:p>
        </w:tc>
        <w:tc>
          <w:tcPr>
            <w:tcW w:type="dxa" w:w="2080"/>
            <w:shd w:fill="EAF1FA" w:color="auto" w:val="clear"/>
            <w:tcMar>
              <w:top w:type="dxa" w:w="90"/>
              <w:left w:type="dxa" w:w="130"/>
              <w:bottom w:type="dxa" w:w="90"/>
              <w:right w:type="dxa" w:w="130"/>
            </w:tcMar>
            <w:vAlign w:val="center"/>
          </w:tcPr>
          <w:p>
            <w:pPr>
              <w:jc w:val="center"/>
            </w:pPr>
            <w:r>
              <w:rPr>
                <w:rFonts w:ascii="Calibri" w:cs="Calibri" w:eastAsia="Calibri" w:hAnsi="Calibri"/>
                <w:b/>
                <w:bCs/>
                <w:color w:val="2E7D32"/>
                <w:sz w:val="19"/>
                <w:szCs w:val="19"/>
              </w:rPr>
              <w:t xml:space="preserve">10.44%</w:t>
            </w:r>
          </w:p>
        </w:tc>
      </w:tr>
    </w:tbl>
    <w:p>
      <w:pPr>
        <w:spacing w:after="160" w:line="300"/>
      </w:pPr>
      <w:r>
        <w:rPr>
          <w:rFonts w:ascii="Calibri" w:cs="Calibri" w:eastAsia="Calibri" w:hAnsi="Calibri"/>
          <w:sz w:val="21"/>
          <w:szCs w:val="21"/>
        </w:rPr>
        <w:t xml:space="preserve">Business meaning: This is the sharpest divide of any KPI in the dataset — overtime workers leave at nearly 3x the rate of those who don't. Of the 237 total departures, 127 (more than half) came from the smaller overtime group (416 people), making overtime the single highest-leverage variable for workload and staffing review.</w:t>
      </w:r>
    </w:p>
    <w:p>
      <w:pPr>
        <w:pStyle w:val="Heading1"/>
        <w:pBdr>
          <w:bottom w:val="single" w:color="1F3864" w:sz="6" w:space="4"/>
        </w:pBdr>
        <w:spacing w:after="160" w:before="320"/>
      </w:pPr>
      <w:r>
        <w:rPr>
          <w:rFonts w:ascii="Calibri" w:cs="Calibri" w:eastAsia="Calibri" w:hAnsi="Calibri"/>
          <w:b/>
          <w:bCs/>
          <w:color w:val="1F3864"/>
          <w:sz w:val="30"/>
          <w:szCs w:val="30"/>
        </w:rPr>
        <w:t xml:space="preserve">6. Job Role Attrition: Highest vs.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20"/>
        <w:gridCol w:w="1480"/>
        <w:gridCol w:w="1480"/>
        <w:gridCol w:w="1480"/>
      </w:tblGrid>
      <w:tr>
        <w:tc>
          <w:tcPr>
            <w:tcW w:type="dxa" w:w="1800"/>
            <w:shd w:fill="1F3864"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
            </w:r>
          </w:p>
        </w:tc>
        <w:tc>
          <w:tcPr>
            <w:tcW w:type="dxa" w:w="3120"/>
            <w:shd w:fill="1F3864"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Job Role</w:t>
            </w:r>
          </w:p>
        </w:tc>
        <w:tc>
          <w:tcPr>
            <w:tcW w:type="dxa" w:w="1480"/>
            <w:shd w:fill="1F3864"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Total</w:t>
            </w:r>
          </w:p>
        </w:tc>
        <w:tc>
          <w:tcPr>
            <w:tcW w:type="dxa" w:w="1480"/>
            <w:shd w:fill="1F3864"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Left</w:t>
            </w:r>
          </w:p>
        </w:tc>
        <w:tc>
          <w:tcPr>
            <w:tcW w:type="dxa" w:w="1480"/>
            <w:shd w:fill="1F3864"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Attrition Rate</w:t>
            </w:r>
          </w:p>
        </w:tc>
      </w:tr>
      <w:tr>
        <w:tc>
          <w:tcPr>
            <w:tcW w:type="dxa" w:w="1800"/>
            <w:tcMar>
              <w:top w:type="dxa" w:w="90"/>
              <w:left w:type="dxa" w:w="130"/>
              <w:bottom w:type="dxa" w:w="90"/>
              <w:right w:type="dxa" w:w="130"/>
            </w:tcMar>
            <w:vAlign w:val="center"/>
          </w:tcPr>
          <w:p>
            <w:pPr>
              <w:jc w:val="left"/>
            </w:pPr>
            <w:r>
              <w:rPr>
                <w:rFonts w:ascii="Calibri" w:cs="Calibri" w:eastAsia="Calibri" w:hAnsi="Calibri"/>
                <w:b/>
                <w:bCs/>
                <w:color w:val="C0392B"/>
                <w:sz w:val="19"/>
                <w:szCs w:val="19"/>
              </w:rPr>
              <w:t xml:space="preserve">🔴 Highest</w:t>
            </w:r>
          </w:p>
        </w:tc>
        <w:tc>
          <w:tcPr>
            <w:tcW w:type="dxa" w:w="3120"/>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Sales Representative</w:t>
            </w:r>
          </w:p>
        </w:tc>
        <w:tc>
          <w:tcPr>
            <w:tcW w:type="dxa" w:w="14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83</w:t>
            </w:r>
          </w:p>
        </w:tc>
        <w:tc>
          <w:tcPr>
            <w:tcW w:type="dxa" w:w="1480"/>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33</w:t>
            </w:r>
          </w:p>
        </w:tc>
        <w:tc>
          <w:tcPr>
            <w:tcW w:type="dxa" w:w="1480"/>
            <w:tcMar>
              <w:top w:type="dxa" w:w="90"/>
              <w:left w:type="dxa" w:w="130"/>
              <w:bottom w:type="dxa" w:w="90"/>
              <w:right w:type="dxa" w:w="130"/>
            </w:tcMar>
            <w:vAlign w:val="center"/>
          </w:tcPr>
          <w:p>
            <w:pPr>
              <w:jc w:val="center"/>
            </w:pPr>
            <w:r>
              <w:rPr>
                <w:rFonts w:ascii="Calibri" w:cs="Calibri" w:eastAsia="Calibri" w:hAnsi="Calibri"/>
                <w:b/>
                <w:bCs/>
                <w:color w:val="C0392B"/>
                <w:sz w:val="19"/>
                <w:szCs w:val="19"/>
              </w:rPr>
              <w:t xml:space="preserve">39.76%</w:t>
            </w:r>
          </w:p>
        </w:tc>
      </w:tr>
      <w:tr>
        <w:tc>
          <w:tcPr>
            <w:tcW w:type="dxa" w:w="1800"/>
            <w:shd w:fill="EAF1FA" w:color="auto" w:val="clear"/>
            <w:tcMar>
              <w:top w:type="dxa" w:w="90"/>
              <w:left w:type="dxa" w:w="130"/>
              <w:bottom w:type="dxa" w:w="90"/>
              <w:right w:type="dxa" w:w="130"/>
            </w:tcMar>
            <w:vAlign w:val="center"/>
          </w:tcPr>
          <w:p>
            <w:pPr>
              <w:jc w:val="left"/>
            </w:pPr>
            <w:r>
              <w:rPr>
                <w:rFonts w:ascii="Calibri" w:cs="Calibri" w:eastAsia="Calibri" w:hAnsi="Calibri"/>
                <w:b/>
                <w:bCs/>
                <w:color w:val="2E7D32"/>
                <w:sz w:val="19"/>
                <w:szCs w:val="19"/>
              </w:rPr>
              <w:t xml:space="preserve">🟢 Lowest</w:t>
            </w:r>
          </w:p>
        </w:tc>
        <w:tc>
          <w:tcPr>
            <w:tcW w:type="dxa" w:w="3120"/>
            <w:shd w:fill="EAF1FA" w:color="auto" w:val="clear"/>
            <w:tcMar>
              <w:top w:type="dxa" w:w="90"/>
              <w:left w:type="dxa" w:w="130"/>
              <w:bottom w:type="dxa" w:w="90"/>
              <w:right w:type="dxa" w:w="130"/>
            </w:tcMar>
            <w:vAlign w:val="center"/>
          </w:tcPr>
          <w:p>
            <w:pPr>
              <w:jc w:val="left"/>
            </w:pPr>
            <w:r>
              <w:rPr>
                <w:rFonts w:ascii="Calibri" w:cs="Calibri" w:eastAsia="Calibri" w:hAnsi="Calibri"/>
                <w:b/>
                <w:bCs/>
                <w:color w:val="000000"/>
                <w:sz w:val="19"/>
                <w:szCs w:val="19"/>
              </w:rPr>
              <w:t xml:space="preserve">Research Director</w:t>
            </w:r>
          </w:p>
        </w:tc>
        <w:tc>
          <w:tcPr>
            <w:tcW w:type="dxa" w:w="148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80</w:t>
            </w:r>
          </w:p>
        </w:tc>
        <w:tc>
          <w:tcPr>
            <w:tcW w:type="dxa" w:w="1480"/>
            <w:shd w:fill="EAF1FA" w:color="auto" w:val="clear"/>
            <w:tcMar>
              <w:top w:type="dxa" w:w="90"/>
              <w:left w:type="dxa" w:w="130"/>
              <w:bottom w:type="dxa" w:w="90"/>
              <w:right w:type="dxa" w:w="130"/>
            </w:tcMar>
            <w:vAlign w:val="center"/>
          </w:tcPr>
          <w:p>
            <w:pPr>
              <w:jc w:val="center"/>
            </w:pPr>
            <w:r>
              <w:rPr>
                <w:rFonts w:ascii="Calibri" w:cs="Calibri" w:eastAsia="Calibri" w:hAnsi="Calibri"/>
                <w:b w:val="false"/>
                <w:bCs w:val="false"/>
                <w:color w:val="000000"/>
                <w:sz w:val="19"/>
                <w:szCs w:val="19"/>
              </w:rPr>
              <w:t xml:space="preserve">2</w:t>
            </w:r>
          </w:p>
        </w:tc>
        <w:tc>
          <w:tcPr>
            <w:tcW w:type="dxa" w:w="1480"/>
            <w:shd w:fill="EAF1FA" w:color="auto" w:val="clear"/>
            <w:tcMar>
              <w:top w:type="dxa" w:w="90"/>
              <w:left w:type="dxa" w:w="130"/>
              <w:bottom w:type="dxa" w:w="90"/>
              <w:right w:type="dxa" w:w="130"/>
            </w:tcMar>
            <w:vAlign w:val="center"/>
          </w:tcPr>
          <w:p>
            <w:pPr>
              <w:jc w:val="center"/>
            </w:pPr>
            <w:r>
              <w:rPr>
                <w:rFonts w:ascii="Calibri" w:cs="Calibri" w:eastAsia="Calibri" w:hAnsi="Calibri"/>
                <w:b/>
                <w:bCs/>
                <w:color w:val="2E7D32"/>
                <w:sz w:val="19"/>
                <w:szCs w:val="19"/>
              </w:rPr>
              <w:t xml:space="preserve">2.50%</w:t>
            </w:r>
          </w:p>
        </w:tc>
      </w:tr>
    </w:tbl>
    <w:p>
      <w:pPr>
        <w:spacing w:after="160" w:line="300"/>
      </w:pPr>
      <w:r>
        <w:rPr>
          <w:rFonts w:ascii="Calibri" w:cs="Calibri" w:eastAsia="Calibri" w:hAnsi="Calibri"/>
          <w:sz w:val="21"/>
          <w:szCs w:val="21"/>
        </w:rPr>
        <w:t xml:space="preserve">Business meaning: A Sales Representative is roughly 16x more likely to leave than a Research Director. This isn't purely a seniority effect — Managers and Healthcare Representatives, also relatively senior/stable roles, sit at just 4.9% and 6.9%. Sales Representative stands out even among similar front-line roles, making it the single most urgent role-level retention priority.</w:t>
      </w:r>
    </w:p>
    <w:p>
      <w:pPr>
        <w:pStyle w:val="Heading1"/>
        <w:pBdr>
          <w:bottom w:val="single" w:color="1F3864" w:sz="6" w:space="4"/>
        </w:pBdr>
        <w:spacing w:after="160" w:before="320"/>
      </w:pPr>
      <w:r>
        <w:rPr>
          <w:rFonts w:ascii="Calibri" w:cs="Calibri" w:eastAsia="Calibri" w:hAnsi="Calibri"/>
          <w:b/>
          <w:bCs/>
          <w:color w:val="1F3864"/>
          <w:sz w:val="30"/>
          <w:szCs w:val="30"/>
        </w:rPr>
        <w:t xml:space="preserve">7. Summary</w:t>
      </w:r>
    </w:p>
    <w:p>
      <w:pPr>
        <w:pStyle w:val="ListParagraph"/>
        <w:numPr>
          <w:ilvl w:val="0"/>
          <w:numId w:val="1"/>
        </w:numPr>
        <w:spacing w:after="80" w:line="280"/>
      </w:pPr>
      <w:r>
        <w:rPr>
          <w:rFonts w:ascii="Calibri" w:cs="Calibri" w:eastAsia="Calibri" w:hAnsi="Calibri"/>
          <w:sz w:val="20"/>
          <w:szCs w:val="20"/>
        </w:rPr>
        <w:t xml:space="preserve">Company-wide attrition stands at 16.12% (237 of 1,470 employees).</w:t>
      </w:r>
    </w:p>
    <w:p>
      <w:pPr>
        <w:pStyle w:val="ListParagraph"/>
        <w:numPr>
          <w:ilvl w:val="0"/>
          <w:numId w:val="1"/>
        </w:numPr>
        <w:spacing w:after="80" w:line="280"/>
      </w:pPr>
      <w:r>
        <w:rPr>
          <w:rFonts w:ascii="Calibri" w:cs="Calibri" w:eastAsia="Calibri" w:hAnsi="Calibri"/>
          <w:sz w:val="20"/>
          <w:szCs w:val="20"/>
        </w:rPr>
        <w:t xml:space="preserve">Sales is the highest-risk department (20.63%); R&amp;D is the most stable (13.84%).</w:t>
      </w:r>
    </w:p>
    <w:p>
      <w:pPr>
        <w:pStyle w:val="ListParagraph"/>
        <w:numPr>
          <w:ilvl w:val="0"/>
          <w:numId w:val="1"/>
        </w:numPr>
        <w:spacing w:after="80" w:line="280"/>
      </w:pPr>
      <w:r>
        <w:rPr>
          <w:rFonts w:ascii="Calibri" w:cs="Calibri" w:eastAsia="Calibri" w:hAnsi="Calibri"/>
          <w:sz w:val="20"/>
          <w:szCs w:val="20"/>
        </w:rPr>
        <w:t xml:space="preserve">Overtime is the strongest single KPI signal — a 3x attrition gap between overtime and non-overtime staff.</w:t>
      </w:r>
    </w:p>
    <w:p>
      <w:pPr>
        <w:pStyle w:val="ListParagraph"/>
        <w:numPr>
          <w:ilvl w:val="0"/>
          <w:numId w:val="1"/>
        </w:numPr>
        <w:spacing w:after="80" w:line="280"/>
      </w:pPr>
      <w:r>
        <w:rPr>
          <w:rFonts w:ascii="Calibri" w:cs="Calibri" w:eastAsia="Calibri" w:hAnsi="Calibri"/>
          <w:sz w:val="20"/>
          <w:szCs w:val="20"/>
        </w:rPr>
        <w:t xml:space="preserve">Sales Representative is the highest-risk job role (39.76%); Research Director is the most stable (2.50%).</w:t>
      </w:r>
    </w:p>
    <w:p>
      <w:pPr>
        <w:pStyle w:val="ListParagraph"/>
        <w:numPr>
          <w:ilvl w:val="0"/>
          <w:numId w:val="1"/>
        </w:numPr>
        <w:spacing w:after="80" w:line="280"/>
      </w:pPr>
      <w:r>
        <w:rPr>
          <w:rFonts w:ascii="Calibri" w:cs="Calibri" w:eastAsia="Calibri" w:hAnsi="Calibri"/>
          <w:sz w:val="20"/>
          <w:szCs w:val="20"/>
        </w:rPr>
        <w:t xml:space="preserve">Gender shows only a minor difference (17.01% male vs. 14.80% female) and is not a priority lever.</w:t>
      </w:r>
    </w:p>
    <w:p>
      <w:pPr>
        <w:spacing w:after="160" w:line="300"/>
      </w:pPr>
      <w:r>
        <w:rPr>
          <w:rFonts w:ascii="Calibri" w:cs="Calibri" w:eastAsia="Calibri" w:hAnsi="Calibri"/>
          <w:sz w:val="21"/>
          <w:szCs w:val="21"/>
        </w:rPr>
        <w:t xml:space="preserve">Taken together, these KPIs point to a consistent theme: attrition is concentrated in Sales-related, overtime-heavy, front-line roles rather than spread evenly across the organization.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Employee Attrition Analysis — HR KPI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2026-07-04T12:04:37.441Z</dcterms:created>
  <dcterms:modified xsi:type="dcterms:W3CDTF">2026-07-04T12:04:37.466Z</dcterms:modified>
</cp:coreProperties>
</file>

<file path=docProps/custom.xml><?xml version="1.0" encoding="utf-8"?>
<Properties xmlns="http://schemas.openxmlformats.org/officeDocument/2006/custom-properties" xmlns:vt="http://schemas.openxmlformats.org/officeDocument/2006/docPropsVTypes"/>
</file>