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1F3864"/>
          <w:sz w:val="40"/>
          <w:szCs w:val="40"/>
        </w:rPr>
        <w:t xml:space="preserve">EMPLOYEE ATTRITION ANALYSIS PROJECT</w:t>
      </w:r>
    </w:p>
    <w:p>
      <w:pPr>
        <w:spacing w:after="40"/>
        <w:jc w:val="center"/>
      </w:pPr>
      <w:r>
        <w:rPr>
          <w:rFonts w:ascii="Calibri" w:cs="Calibri" w:eastAsia="Calibri" w:hAnsi="Calibri"/>
          <w:b/>
          <w:bCs/>
          <w:color w:val="2E75B6"/>
          <w:sz w:val="28"/>
          <w:szCs w:val="28"/>
        </w:rPr>
        <w:t xml:space="preserve">Exploratory Data Analysis (EDA) Report</w:t>
      </w:r>
    </w:p>
    <w:p>
      <w:pPr>
        <w:pBdr>
          <w:bottom w:val="single" w:color="2E75B6" w:sz="12" w:space="6"/>
        </w:pBdr>
        <w:spacing w:after="300"/>
        <w:jc w:val="center"/>
      </w:pPr>
      <w:r>
        <w:rPr>
          <w:rFonts w:ascii="Calibri" w:cs="Calibri" w:eastAsia="Calibri" w:hAnsi="Calibri"/>
          <w:i/>
          <w:iCs/>
          <w:color w:val="595959"/>
          <w:sz w:val="20"/>
          <w:szCs w:val="20"/>
        </w:rPr>
        <w:t xml:space="preserve">Phase 3: Understanding Patterns &amp; Drivers of Attrition</w:t>
      </w:r>
    </w:p>
    <w:p>
      <w:pPr>
        <w:pStyle w:val="Heading1"/>
        <w:pBdr>
          <w:bottom w:val="single" w:color="1F3864" w:sz="6" w:space="4"/>
        </w:pBdr>
        <w:spacing w:after="160" w:before="320"/>
      </w:pPr>
      <w:r>
        <w:rPr>
          <w:rFonts w:ascii="Calibri" w:cs="Calibri" w:eastAsia="Calibri" w:hAnsi="Calibri"/>
          <w:b/>
          <w:bCs/>
          <w:color w:val="1F3864"/>
          <w:sz w:val="30"/>
          <w:szCs w:val="30"/>
        </w:rPr>
        <w:t xml:space="preserve">1. Dataset Shape</w:t>
      </w:r>
    </w:p>
    <w:p>
      <w:pPr>
        <w:spacing w:after="140" w:line="300"/>
      </w:pPr>
      <w:r>
        <w:rPr>
          <w:rFonts w:ascii="Calibri" w:cs="Calibri" w:eastAsia="Calibri" w:hAnsi="Calibri"/>
          <w:sz w:val="21"/>
          <w:szCs w:val="21"/>
        </w:rPr>
        <w:t xml:space="preserve">The cleaned dataset used for this analysis contains 1,470 employee records across 40 columns (the original 34 cleaned fields plus 6 boolean outlier-flag columns added during the cleaning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Metric</w:t>
            </w:r>
          </w:p>
        </w:tc>
        <w:tc>
          <w:tcPr>
            <w:tcW w:type="dxa" w:w="4680"/>
            <w:shd w:fill="1F3864"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Value</w:t>
            </w:r>
          </w:p>
        </w:tc>
      </w:tr>
      <w:tr>
        <w:tc>
          <w:tcPr>
            <w:tcW w:type="dxa" w:w="4680"/>
            <w:tcMar>
              <w:top w:type="dxa" w:w="80"/>
              <w:left w:type="dxa" w:w="120"/>
              <w:bottom w:type="dxa" w:w="80"/>
              <w:right w:type="dxa" w:w="120"/>
            </w:tcMar>
            <w:vAlign w:val="center"/>
          </w:tcPr>
          <w:p>
            <w:r>
              <w:rPr>
                <w:rFonts w:ascii="Calibri" w:cs="Calibri" w:eastAsia="Calibri" w:hAnsi="Calibri"/>
                <w:b/>
                <w:bCs/>
                <w:sz w:val="18"/>
                <w:szCs w:val="18"/>
              </w:rPr>
              <w:t xml:space="preserve">Total Records (Employees)</w:t>
            </w:r>
          </w:p>
        </w:tc>
        <w:tc>
          <w:tcPr>
            <w:tcW w:type="dxa" w:w="4680"/>
            <w:tcMar>
              <w:top w:type="dxa" w:w="80"/>
              <w:left w:type="dxa" w:w="120"/>
              <w:bottom w:type="dxa" w:w="80"/>
              <w:right w:type="dxa" w:w="120"/>
            </w:tcMar>
            <w:vAlign w:val="center"/>
          </w:tcPr>
          <w:p>
            <w:r>
              <w:rPr>
                <w:rFonts w:ascii="Calibri" w:cs="Calibri" w:eastAsia="Calibri" w:hAnsi="Calibri"/>
                <w:b w:val="false"/>
                <w:bCs w:val="false"/>
                <w:sz w:val="18"/>
                <w:szCs w:val="18"/>
              </w:rPr>
              <w:t xml:space="preserve">1,470</w:t>
            </w:r>
          </w:p>
        </w:tc>
      </w:tr>
      <w:tr>
        <w:tc>
          <w:tcPr>
            <w:tcW w:type="dxa" w:w="4680"/>
            <w:shd w:fill="EAF1FA" w:color="auto" w:val="clear"/>
            <w:tcMar>
              <w:top w:type="dxa" w:w="80"/>
              <w:left w:type="dxa" w:w="120"/>
              <w:bottom w:type="dxa" w:w="80"/>
              <w:right w:type="dxa" w:w="120"/>
            </w:tcMar>
            <w:vAlign w:val="center"/>
          </w:tcPr>
          <w:p>
            <w:r>
              <w:rPr>
                <w:rFonts w:ascii="Calibri" w:cs="Calibri" w:eastAsia="Calibri" w:hAnsi="Calibri"/>
                <w:b/>
                <w:bCs/>
                <w:sz w:val="18"/>
                <w:szCs w:val="18"/>
              </w:rPr>
              <w:t xml:space="preserve">Total Columns</w:t>
            </w:r>
          </w:p>
        </w:tc>
        <w:tc>
          <w:tcPr>
            <w:tcW w:type="dxa" w:w="4680"/>
            <w:shd w:fill="EAF1FA" w:color="auto" w:val="clear"/>
            <w:tcMar>
              <w:top w:type="dxa" w:w="80"/>
              <w:left w:type="dxa" w:w="120"/>
              <w:bottom w:type="dxa" w:w="80"/>
              <w:right w:type="dxa" w:w="120"/>
            </w:tcMar>
            <w:vAlign w:val="center"/>
          </w:tcPr>
          <w:p>
            <w:r>
              <w:rPr>
                <w:rFonts w:ascii="Calibri" w:cs="Calibri" w:eastAsia="Calibri" w:hAnsi="Calibri"/>
                <w:b w:val="false"/>
                <w:bCs w:val="false"/>
                <w:sz w:val="18"/>
                <w:szCs w:val="18"/>
              </w:rPr>
              <w:t xml:space="preserve">40 (34 original/cleaned + 6 outlier flags)</w:t>
            </w:r>
          </w:p>
        </w:tc>
      </w:tr>
      <w:tr>
        <w:tc>
          <w:tcPr>
            <w:tcW w:type="dxa" w:w="4680"/>
            <w:tcMar>
              <w:top w:type="dxa" w:w="80"/>
              <w:left w:type="dxa" w:w="120"/>
              <w:bottom w:type="dxa" w:w="80"/>
              <w:right w:type="dxa" w:w="120"/>
            </w:tcMar>
            <w:vAlign w:val="center"/>
          </w:tcPr>
          <w:p>
            <w:r>
              <w:rPr>
                <w:rFonts w:ascii="Calibri" w:cs="Calibri" w:eastAsia="Calibri" w:hAnsi="Calibri"/>
                <w:b/>
                <w:bCs/>
                <w:sz w:val="18"/>
                <w:szCs w:val="18"/>
              </w:rPr>
              <w:t xml:space="preserve">Numeric Columns</w:t>
            </w:r>
          </w:p>
        </w:tc>
        <w:tc>
          <w:tcPr>
            <w:tcW w:type="dxa" w:w="4680"/>
            <w:tcMar>
              <w:top w:type="dxa" w:w="80"/>
              <w:left w:type="dxa" w:w="120"/>
              <w:bottom w:type="dxa" w:w="80"/>
              <w:right w:type="dxa" w:w="120"/>
            </w:tcMar>
            <w:vAlign w:val="center"/>
          </w:tcPr>
          <w:p>
            <w:r>
              <w:rPr>
                <w:rFonts w:ascii="Calibri" w:cs="Calibri" w:eastAsia="Calibri" w:hAnsi="Calibri"/>
                <w:b w:val="false"/>
                <w:bCs w:val="false"/>
                <w:sz w:val="18"/>
                <w:szCs w:val="18"/>
              </w:rPr>
              <w:t xml:space="preserve">26</w:t>
            </w:r>
          </w:p>
        </w:tc>
      </w:tr>
      <w:tr>
        <w:tc>
          <w:tcPr>
            <w:tcW w:type="dxa" w:w="4680"/>
            <w:shd w:fill="EAF1FA" w:color="auto" w:val="clear"/>
            <w:tcMar>
              <w:top w:type="dxa" w:w="80"/>
              <w:left w:type="dxa" w:w="120"/>
              <w:bottom w:type="dxa" w:w="80"/>
              <w:right w:type="dxa" w:w="120"/>
            </w:tcMar>
            <w:vAlign w:val="center"/>
          </w:tcPr>
          <w:p>
            <w:r>
              <w:rPr>
                <w:rFonts w:ascii="Calibri" w:cs="Calibri" w:eastAsia="Calibri" w:hAnsi="Calibri"/>
                <w:b/>
                <w:bCs/>
                <w:sz w:val="18"/>
                <w:szCs w:val="18"/>
              </w:rPr>
              <w:t xml:space="preserve">Categorical Columns</w:t>
            </w:r>
          </w:p>
        </w:tc>
        <w:tc>
          <w:tcPr>
            <w:tcW w:type="dxa" w:w="4680"/>
            <w:shd w:fill="EAF1FA" w:color="auto" w:val="clear"/>
            <w:tcMar>
              <w:top w:type="dxa" w:w="80"/>
              <w:left w:type="dxa" w:w="120"/>
              <w:bottom w:type="dxa" w:w="80"/>
              <w:right w:type="dxa" w:w="120"/>
            </w:tcMar>
            <w:vAlign w:val="center"/>
          </w:tcPr>
          <w:p>
            <w:r>
              <w:rPr>
                <w:rFonts w:ascii="Calibri" w:cs="Calibri" w:eastAsia="Calibri" w:hAnsi="Calibri"/>
                <w:b w:val="false"/>
                <w:bCs w:val="false"/>
                <w:sz w:val="18"/>
                <w:szCs w:val="18"/>
              </w:rPr>
              <w:t xml:space="preserve">8</w:t>
            </w:r>
          </w:p>
        </w:tc>
      </w:tr>
      <w:tr>
        <w:tc>
          <w:tcPr>
            <w:tcW w:type="dxa" w:w="4680"/>
            <w:tcMar>
              <w:top w:type="dxa" w:w="80"/>
              <w:left w:type="dxa" w:w="120"/>
              <w:bottom w:type="dxa" w:w="80"/>
              <w:right w:type="dxa" w:w="120"/>
            </w:tcMar>
            <w:vAlign w:val="center"/>
          </w:tcPr>
          <w:p>
            <w:r>
              <w:rPr>
                <w:rFonts w:ascii="Calibri" w:cs="Calibri" w:eastAsia="Calibri" w:hAnsi="Calibri"/>
                <w:b/>
                <w:bCs/>
                <w:sz w:val="18"/>
                <w:szCs w:val="18"/>
              </w:rPr>
              <w:t xml:space="preserve">Boolean (Outlier Flag) Columns</w:t>
            </w:r>
          </w:p>
        </w:tc>
        <w:tc>
          <w:tcPr>
            <w:tcW w:type="dxa" w:w="4680"/>
            <w:tcMar>
              <w:top w:type="dxa" w:w="80"/>
              <w:left w:type="dxa" w:w="120"/>
              <w:bottom w:type="dxa" w:w="80"/>
              <w:right w:type="dxa" w:w="120"/>
            </w:tcMar>
            <w:vAlign w:val="center"/>
          </w:tcPr>
          <w:p>
            <w:r>
              <w:rPr>
                <w:rFonts w:ascii="Calibri" w:cs="Calibri" w:eastAsia="Calibri" w:hAnsi="Calibri"/>
                <w:b w:val="false"/>
                <w:bCs w:val="false"/>
                <w:sz w:val="18"/>
                <w:szCs w:val="18"/>
              </w:rPr>
              <w:t xml:space="preserve">6</w:t>
            </w:r>
          </w:p>
        </w:tc>
      </w:tr>
      <w:tr>
        <w:tc>
          <w:tcPr>
            <w:tcW w:type="dxa" w:w="4680"/>
            <w:shd w:fill="EAF1FA" w:color="auto" w:val="clear"/>
            <w:tcMar>
              <w:top w:type="dxa" w:w="80"/>
              <w:left w:type="dxa" w:w="120"/>
              <w:bottom w:type="dxa" w:w="80"/>
              <w:right w:type="dxa" w:w="120"/>
            </w:tcMar>
            <w:vAlign w:val="center"/>
          </w:tcPr>
          <w:p>
            <w:r>
              <w:rPr>
                <w:rFonts w:ascii="Calibri" w:cs="Calibri" w:eastAsia="Calibri" w:hAnsi="Calibri"/>
                <w:b/>
                <w:bCs/>
                <w:sz w:val="18"/>
                <w:szCs w:val="18"/>
              </w:rPr>
              <w:t xml:space="preserve">Missing Values</w:t>
            </w:r>
          </w:p>
        </w:tc>
        <w:tc>
          <w:tcPr>
            <w:tcW w:type="dxa" w:w="4680"/>
            <w:shd w:fill="EAF1FA" w:color="auto" w:val="clear"/>
            <w:tcMar>
              <w:top w:type="dxa" w:w="80"/>
              <w:left w:type="dxa" w:w="120"/>
              <w:bottom w:type="dxa" w:w="80"/>
              <w:right w:type="dxa" w:w="120"/>
            </w:tcMar>
            <w:vAlign w:val="center"/>
          </w:tcPr>
          <w:p>
            <w:r>
              <w:rPr>
                <w:rFonts w:ascii="Calibri" w:cs="Calibri" w:eastAsia="Calibri" w:hAnsi="Calibri"/>
                <w:b w:val="false"/>
                <w:bCs w:val="false"/>
                <w:sz w:val="18"/>
                <w:szCs w:val="18"/>
              </w:rPr>
              <w:t xml:space="preserve">0</w:t>
            </w:r>
          </w:p>
        </w:tc>
      </w:tr>
      <w:tr>
        <w:tc>
          <w:tcPr>
            <w:tcW w:type="dxa" w:w="4680"/>
            <w:tcMar>
              <w:top w:type="dxa" w:w="80"/>
              <w:left w:type="dxa" w:w="120"/>
              <w:bottom w:type="dxa" w:w="80"/>
              <w:right w:type="dxa" w:w="120"/>
            </w:tcMar>
            <w:vAlign w:val="center"/>
          </w:tcPr>
          <w:p>
            <w:r>
              <w:rPr>
                <w:rFonts w:ascii="Calibri" w:cs="Calibri" w:eastAsia="Calibri" w:hAnsi="Calibri"/>
                <w:b/>
                <w:bCs/>
                <w:sz w:val="18"/>
                <w:szCs w:val="18"/>
              </w:rPr>
              <w:t xml:space="preserve">Memory Usage</w:t>
            </w:r>
          </w:p>
        </w:tc>
        <w:tc>
          <w:tcPr>
            <w:tcW w:type="dxa" w:w="4680"/>
            <w:tcMar>
              <w:top w:type="dxa" w:w="80"/>
              <w:left w:type="dxa" w:w="120"/>
              <w:bottom w:type="dxa" w:w="80"/>
              <w:right w:type="dxa" w:w="120"/>
            </w:tcMar>
            <w:vAlign w:val="center"/>
          </w:tcPr>
          <w:p>
            <w:r>
              <w:rPr>
                <w:rFonts w:ascii="Calibri" w:cs="Calibri" w:eastAsia="Calibri" w:hAnsi="Calibri"/>
                <w:b w:val="false"/>
                <w:bCs w:val="false"/>
                <w:sz w:val="18"/>
                <w:szCs w:val="18"/>
              </w:rPr>
              <w:t xml:space="preserve">≈ 399 KB</w:t>
            </w:r>
          </w:p>
        </w:tc>
      </w:tr>
    </w:tbl>
    <w:p>
      <w:pPr>
        <w:pStyle w:val="Heading1"/>
        <w:pBdr>
          <w:bottom w:val="single" w:color="1F3864" w:sz="6" w:space="4"/>
        </w:pBdr>
        <w:spacing w:after="160" w:before="320"/>
      </w:pPr>
      <w:r>
        <w:rPr>
          <w:rFonts w:ascii="Calibri" w:cs="Calibri" w:eastAsia="Calibri" w:hAnsi="Calibri"/>
          <w:b/>
          <w:bCs/>
          <w:color w:val="1F3864"/>
          <w:sz w:val="30"/>
          <w:szCs w:val="30"/>
        </w:rPr>
        <w:t xml:space="preserve">2. Dataset Information</w:t>
      </w:r>
    </w:p>
    <w:p>
      <w:pPr>
        <w:spacing w:after="140" w:line="300"/>
      </w:pPr>
      <w:r>
        <w:rPr>
          <w:rFonts w:ascii="Calibri" w:cs="Calibri" w:eastAsia="Calibri" w:hAnsi="Calibri"/>
          <w:sz w:val="21"/>
          <w:szCs w:val="21"/>
        </w:rPr>
        <w:t xml:space="preserve">All 40 columns are fully populated (0 missing values). The dataset combines 26 numeric columns (compensation, tenure, satisfaction scores) and 8 core categorical columns (Department, JobRole, Gender, etc.), plus 6 boolean outlier-indicator columns. Total memory footprint is approximately 399 KB — a small, easily analyzable dataset.</w:t>
      </w:r>
    </w:p>
    <w:p>
      <w:pPr>
        <w:pStyle w:val="Heading1"/>
        <w:pBdr>
          <w:bottom w:val="single" w:color="1F3864" w:sz="6" w:space="4"/>
        </w:pBdr>
        <w:spacing w:after="160" w:before="320"/>
      </w:pPr>
      <w:r>
        <w:rPr>
          <w:rFonts w:ascii="Calibri" w:cs="Calibri" w:eastAsia="Calibri" w:hAnsi="Calibri"/>
          <w:b/>
          <w:bCs/>
          <w:color w:val="1F3864"/>
          <w:sz w:val="30"/>
          <w:szCs w:val="30"/>
        </w:rPr>
        <w:t xml:space="preserve">3. Summary Statistics</w:t>
      </w:r>
    </w:p>
    <w:p>
      <w:pPr>
        <w:spacing w:after="140" w:line="300"/>
      </w:pPr>
      <w:r>
        <w:rPr>
          <w:rFonts w:ascii="Calibri" w:cs="Calibri" w:eastAsia="Calibri" w:hAnsi="Calibri"/>
          <w:sz w:val="21"/>
          <w:szCs w:val="21"/>
        </w:rPr>
        <w:t xml:space="preserve">Key descriptive statistics for the most business-relevant numeric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shd w:fill="2E75B6"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Feature</w:t>
            </w:r>
          </w:p>
        </w:tc>
        <w:tc>
          <w:tcPr>
            <w:tcW w:type="dxa" w:w="1640"/>
            <w:shd w:fill="2E75B6"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Mean</w:t>
            </w:r>
          </w:p>
        </w:tc>
        <w:tc>
          <w:tcPr>
            <w:tcW w:type="dxa" w:w="1640"/>
            <w:shd w:fill="2E75B6"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Std Dev</w:t>
            </w:r>
          </w:p>
        </w:tc>
        <w:tc>
          <w:tcPr>
            <w:tcW w:type="dxa" w:w="1640"/>
            <w:shd w:fill="2E75B6"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Min</w:t>
            </w:r>
          </w:p>
        </w:tc>
        <w:tc>
          <w:tcPr>
            <w:tcW w:type="dxa" w:w="1640"/>
            <w:shd w:fill="2E75B6"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Max</w:t>
            </w:r>
          </w:p>
        </w:tc>
      </w:tr>
      <w:tr>
        <w:tc>
          <w:tcPr>
            <w:tcW w:type="dxa" w:w="2800"/>
            <w:tcMar>
              <w:top w:type="dxa" w:w="80"/>
              <w:left w:type="dxa" w:w="120"/>
              <w:bottom w:type="dxa" w:w="80"/>
              <w:right w:type="dxa" w:w="120"/>
            </w:tcMar>
            <w:vAlign w:val="center"/>
          </w:tcPr>
          <w:p>
            <w:r>
              <w:rPr>
                <w:rFonts w:ascii="Calibri" w:cs="Calibri" w:eastAsia="Calibri" w:hAnsi="Calibri"/>
                <w:b/>
                <w:bCs/>
                <w:sz w:val="18"/>
                <w:szCs w:val="18"/>
              </w:rPr>
              <w:t xml:space="preserve">Age</w:t>
            </w:r>
          </w:p>
        </w:tc>
        <w:tc>
          <w:tcPr>
            <w:tcW w:type="dxa" w:w="1640"/>
            <w:tcMar>
              <w:top w:type="dxa" w:w="80"/>
              <w:left w:type="dxa" w:w="120"/>
              <w:bottom w:type="dxa" w:w="80"/>
              <w:right w:type="dxa" w:w="120"/>
            </w:tcMar>
            <w:vAlign w:val="center"/>
          </w:tcPr>
          <w:p>
            <w:r>
              <w:rPr>
                <w:rFonts w:ascii="Calibri" w:cs="Calibri" w:eastAsia="Calibri" w:hAnsi="Calibri"/>
                <w:b w:val="false"/>
                <w:bCs w:val="false"/>
                <w:sz w:val="18"/>
                <w:szCs w:val="18"/>
              </w:rPr>
              <w:t xml:space="preserve">36.9</w:t>
            </w:r>
          </w:p>
        </w:tc>
        <w:tc>
          <w:tcPr>
            <w:tcW w:type="dxa" w:w="1640"/>
            <w:tcMar>
              <w:top w:type="dxa" w:w="80"/>
              <w:left w:type="dxa" w:w="120"/>
              <w:bottom w:type="dxa" w:w="80"/>
              <w:right w:type="dxa" w:w="120"/>
            </w:tcMar>
            <w:vAlign w:val="center"/>
          </w:tcPr>
          <w:p>
            <w:r>
              <w:rPr>
                <w:rFonts w:ascii="Calibri" w:cs="Calibri" w:eastAsia="Calibri" w:hAnsi="Calibri"/>
                <w:b w:val="false"/>
                <w:bCs w:val="false"/>
                <w:sz w:val="18"/>
                <w:szCs w:val="18"/>
              </w:rPr>
              <w:t xml:space="preserve">9.1</w:t>
            </w:r>
          </w:p>
        </w:tc>
        <w:tc>
          <w:tcPr>
            <w:tcW w:type="dxa" w:w="1640"/>
            <w:tcMar>
              <w:top w:type="dxa" w:w="80"/>
              <w:left w:type="dxa" w:w="120"/>
              <w:bottom w:type="dxa" w:w="80"/>
              <w:right w:type="dxa" w:w="120"/>
            </w:tcMar>
            <w:vAlign w:val="center"/>
          </w:tcPr>
          <w:p>
            <w:r>
              <w:rPr>
                <w:rFonts w:ascii="Calibri" w:cs="Calibri" w:eastAsia="Calibri" w:hAnsi="Calibri"/>
                <w:b w:val="false"/>
                <w:bCs w:val="false"/>
                <w:sz w:val="18"/>
                <w:szCs w:val="18"/>
              </w:rPr>
              <w:t xml:space="preserve">18</w:t>
            </w:r>
          </w:p>
        </w:tc>
        <w:tc>
          <w:tcPr>
            <w:tcW w:type="dxa" w:w="1640"/>
            <w:tcMar>
              <w:top w:type="dxa" w:w="80"/>
              <w:left w:type="dxa" w:w="120"/>
              <w:bottom w:type="dxa" w:w="80"/>
              <w:right w:type="dxa" w:w="120"/>
            </w:tcMar>
            <w:vAlign w:val="center"/>
          </w:tcPr>
          <w:p>
            <w:r>
              <w:rPr>
                <w:rFonts w:ascii="Calibri" w:cs="Calibri" w:eastAsia="Calibri" w:hAnsi="Calibri"/>
                <w:b w:val="false"/>
                <w:bCs w:val="false"/>
                <w:sz w:val="18"/>
                <w:szCs w:val="18"/>
              </w:rPr>
              <w:t xml:space="preserve">60</w:t>
            </w:r>
          </w:p>
        </w:tc>
      </w:tr>
      <w:tr>
        <w:tc>
          <w:tcPr>
            <w:tcW w:type="dxa" w:w="2800"/>
            <w:shd w:fill="EAF1FA" w:color="auto" w:val="clear"/>
            <w:tcMar>
              <w:top w:type="dxa" w:w="80"/>
              <w:left w:type="dxa" w:w="120"/>
              <w:bottom w:type="dxa" w:w="80"/>
              <w:right w:type="dxa" w:w="120"/>
            </w:tcMar>
            <w:vAlign w:val="center"/>
          </w:tcPr>
          <w:p>
            <w:r>
              <w:rPr>
                <w:rFonts w:ascii="Calibri" w:cs="Calibri" w:eastAsia="Calibri" w:hAnsi="Calibri"/>
                <w:b/>
                <w:bCs/>
                <w:sz w:val="18"/>
                <w:szCs w:val="18"/>
              </w:rPr>
              <w:t xml:space="preserve">MonthlyIncome ($)</w:t>
            </w:r>
          </w:p>
        </w:tc>
        <w:tc>
          <w:tcPr>
            <w:tcW w:type="dxa" w:w="1640"/>
            <w:shd w:fill="EAF1FA" w:color="auto" w:val="clear"/>
            <w:tcMar>
              <w:top w:type="dxa" w:w="80"/>
              <w:left w:type="dxa" w:w="120"/>
              <w:bottom w:type="dxa" w:w="80"/>
              <w:right w:type="dxa" w:w="120"/>
            </w:tcMar>
            <w:vAlign w:val="center"/>
          </w:tcPr>
          <w:p>
            <w:r>
              <w:rPr>
                <w:rFonts w:ascii="Calibri" w:cs="Calibri" w:eastAsia="Calibri" w:hAnsi="Calibri"/>
                <w:b w:val="false"/>
                <w:bCs w:val="false"/>
                <w:sz w:val="18"/>
                <w:szCs w:val="18"/>
              </w:rPr>
              <w:t xml:space="preserve">6,503</w:t>
            </w:r>
          </w:p>
        </w:tc>
        <w:tc>
          <w:tcPr>
            <w:tcW w:type="dxa" w:w="1640"/>
            <w:shd w:fill="EAF1FA" w:color="auto" w:val="clear"/>
            <w:tcMar>
              <w:top w:type="dxa" w:w="80"/>
              <w:left w:type="dxa" w:w="120"/>
              <w:bottom w:type="dxa" w:w="80"/>
              <w:right w:type="dxa" w:w="120"/>
            </w:tcMar>
            <w:vAlign w:val="center"/>
          </w:tcPr>
          <w:p>
            <w:r>
              <w:rPr>
                <w:rFonts w:ascii="Calibri" w:cs="Calibri" w:eastAsia="Calibri" w:hAnsi="Calibri"/>
                <w:b w:val="false"/>
                <w:bCs w:val="false"/>
                <w:sz w:val="18"/>
                <w:szCs w:val="18"/>
              </w:rPr>
              <w:t xml:space="preserve">4,708</w:t>
            </w:r>
          </w:p>
        </w:tc>
        <w:tc>
          <w:tcPr>
            <w:tcW w:type="dxa" w:w="1640"/>
            <w:shd w:fill="EAF1FA" w:color="auto" w:val="clear"/>
            <w:tcMar>
              <w:top w:type="dxa" w:w="80"/>
              <w:left w:type="dxa" w:w="120"/>
              <w:bottom w:type="dxa" w:w="80"/>
              <w:right w:type="dxa" w:w="120"/>
            </w:tcMar>
            <w:vAlign w:val="center"/>
          </w:tcPr>
          <w:p>
            <w:r>
              <w:rPr>
                <w:rFonts w:ascii="Calibri" w:cs="Calibri" w:eastAsia="Calibri" w:hAnsi="Calibri"/>
                <w:b w:val="false"/>
                <w:bCs w:val="false"/>
                <w:sz w:val="18"/>
                <w:szCs w:val="18"/>
              </w:rPr>
              <w:t xml:space="preserve">1,009</w:t>
            </w:r>
          </w:p>
        </w:tc>
        <w:tc>
          <w:tcPr>
            <w:tcW w:type="dxa" w:w="1640"/>
            <w:shd w:fill="EAF1FA" w:color="auto" w:val="clear"/>
            <w:tcMar>
              <w:top w:type="dxa" w:w="80"/>
              <w:left w:type="dxa" w:w="120"/>
              <w:bottom w:type="dxa" w:w="80"/>
              <w:right w:type="dxa" w:w="120"/>
            </w:tcMar>
            <w:vAlign w:val="center"/>
          </w:tcPr>
          <w:p>
            <w:r>
              <w:rPr>
                <w:rFonts w:ascii="Calibri" w:cs="Calibri" w:eastAsia="Calibri" w:hAnsi="Calibri"/>
                <w:b w:val="false"/>
                <w:bCs w:val="false"/>
                <w:sz w:val="18"/>
                <w:szCs w:val="18"/>
              </w:rPr>
              <w:t xml:space="preserve">19,999</w:t>
            </w:r>
          </w:p>
        </w:tc>
      </w:tr>
      <w:tr>
        <w:tc>
          <w:tcPr>
            <w:tcW w:type="dxa" w:w="2800"/>
            <w:tcMar>
              <w:top w:type="dxa" w:w="80"/>
              <w:left w:type="dxa" w:w="120"/>
              <w:bottom w:type="dxa" w:w="80"/>
              <w:right w:type="dxa" w:w="120"/>
            </w:tcMar>
            <w:vAlign w:val="center"/>
          </w:tcPr>
          <w:p>
            <w:r>
              <w:rPr>
                <w:rFonts w:ascii="Calibri" w:cs="Calibri" w:eastAsia="Calibri" w:hAnsi="Calibri"/>
                <w:b/>
                <w:bCs/>
                <w:sz w:val="18"/>
                <w:szCs w:val="18"/>
              </w:rPr>
              <w:t xml:space="preserve">DistanceFromHome</w:t>
            </w:r>
          </w:p>
        </w:tc>
        <w:tc>
          <w:tcPr>
            <w:tcW w:type="dxa" w:w="1640"/>
            <w:tcMar>
              <w:top w:type="dxa" w:w="80"/>
              <w:left w:type="dxa" w:w="120"/>
              <w:bottom w:type="dxa" w:w="80"/>
              <w:right w:type="dxa" w:w="120"/>
            </w:tcMar>
            <w:vAlign w:val="center"/>
          </w:tcPr>
          <w:p>
            <w:r>
              <w:rPr>
                <w:rFonts w:ascii="Calibri" w:cs="Calibri" w:eastAsia="Calibri" w:hAnsi="Calibri"/>
                <w:b w:val="false"/>
                <w:bCs w:val="false"/>
                <w:sz w:val="18"/>
                <w:szCs w:val="18"/>
              </w:rPr>
              <w:t xml:space="preserve">9.2</w:t>
            </w:r>
          </w:p>
        </w:tc>
        <w:tc>
          <w:tcPr>
            <w:tcW w:type="dxa" w:w="1640"/>
            <w:tcMar>
              <w:top w:type="dxa" w:w="80"/>
              <w:left w:type="dxa" w:w="120"/>
              <w:bottom w:type="dxa" w:w="80"/>
              <w:right w:type="dxa" w:w="120"/>
            </w:tcMar>
            <w:vAlign w:val="center"/>
          </w:tcPr>
          <w:p>
            <w:r>
              <w:rPr>
                <w:rFonts w:ascii="Calibri" w:cs="Calibri" w:eastAsia="Calibri" w:hAnsi="Calibri"/>
                <w:b w:val="false"/>
                <w:bCs w:val="false"/>
                <w:sz w:val="18"/>
                <w:szCs w:val="18"/>
              </w:rPr>
              <w:t xml:space="preserve">8.1</w:t>
            </w:r>
          </w:p>
        </w:tc>
        <w:tc>
          <w:tcPr>
            <w:tcW w:type="dxa" w:w="1640"/>
            <w:tcMar>
              <w:top w:type="dxa" w:w="80"/>
              <w:left w:type="dxa" w:w="120"/>
              <w:bottom w:type="dxa" w:w="80"/>
              <w:right w:type="dxa" w:w="120"/>
            </w:tcMar>
            <w:vAlign w:val="center"/>
          </w:tcPr>
          <w:p>
            <w:r>
              <w:rPr>
                <w:rFonts w:ascii="Calibri" w:cs="Calibri" w:eastAsia="Calibri" w:hAnsi="Calibri"/>
                <w:b w:val="false"/>
                <w:bCs w:val="false"/>
                <w:sz w:val="18"/>
                <w:szCs w:val="18"/>
              </w:rPr>
              <w:t xml:space="preserve">1</w:t>
            </w:r>
          </w:p>
        </w:tc>
        <w:tc>
          <w:tcPr>
            <w:tcW w:type="dxa" w:w="1640"/>
            <w:tcMar>
              <w:top w:type="dxa" w:w="80"/>
              <w:left w:type="dxa" w:w="120"/>
              <w:bottom w:type="dxa" w:w="80"/>
              <w:right w:type="dxa" w:w="120"/>
            </w:tcMar>
            <w:vAlign w:val="center"/>
          </w:tcPr>
          <w:p>
            <w:r>
              <w:rPr>
                <w:rFonts w:ascii="Calibri" w:cs="Calibri" w:eastAsia="Calibri" w:hAnsi="Calibri"/>
                <w:b w:val="false"/>
                <w:bCs w:val="false"/>
                <w:sz w:val="18"/>
                <w:szCs w:val="18"/>
              </w:rPr>
              <w:t xml:space="preserve">29</w:t>
            </w:r>
          </w:p>
        </w:tc>
      </w:tr>
      <w:tr>
        <w:tc>
          <w:tcPr>
            <w:tcW w:type="dxa" w:w="2800"/>
            <w:shd w:fill="EAF1FA" w:color="auto" w:val="clear"/>
            <w:tcMar>
              <w:top w:type="dxa" w:w="80"/>
              <w:left w:type="dxa" w:w="120"/>
              <w:bottom w:type="dxa" w:w="80"/>
              <w:right w:type="dxa" w:w="120"/>
            </w:tcMar>
            <w:vAlign w:val="center"/>
          </w:tcPr>
          <w:p>
            <w:r>
              <w:rPr>
                <w:rFonts w:ascii="Calibri" w:cs="Calibri" w:eastAsia="Calibri" w:hAnsi="Calibri"/>
                <w:b/>
                <w:bCs/>
                <w:sz w:val="18"/>
                <w:szCs w:val="18"/>
              </w:rPr>
              <w:t xml:space="preserve">TotalWorkingYears</w:t>
            </w:r>
          </w:p>
        </w:tc>
        <w:tc>
          <w:tcPr>
            <w:tcW w:type="dxa" w:w="1640"/>
            <w:shd w:fill="EAF1FA" w:color="auto" w:val="clear"/>
            <w:tcMar>
              <w:top w:type="dxa" w:w="80"/>
              <w:left w:type="dxa" w:w="120"/>
              <w:bottom w:type="dxa" w:w="80"/>
              <w:right w:type="dxa" w:w="120"/>
            </w:tcMar>
            <w:vAlign w:val="center"/>
          </w:tcPr>
          <w:p>
            <w:r>
              <w:rPr>
                <w:rFonts w:ascii="Calibri" w:cs="Calibri" w:eastAsia="Calibri" w:hAnsi="Calibri"/>
                <w:b w:val="false"/>
                <w:bCs w:val="false"/>
                <w:sz w:val="18"/>
                <w:szCs w:val="18"/>
              </w:rPr>
              <w:t xml:space="preserve">11.3</w:t>
            </w:r>
          </w:p>
        </w:tc>
        <w:tc>
          <w:tcPr>
            <w:tcW w:type="dxa" w:w="1640"/>
            <w:shd w:fill="EAF1FA" w:color="auto" w:val="clear"/>
            <w:tcMar>
              <w:top w:type="dxa" w:w="80"/>
              <w:left w:type="dxa" w:w="120"/>
              <w:bottom w:type="dxa" w:w="80"/>
              <w:right w:type="dxa" w:w="120"/>
            </w:tcMar>
            <w:vAlign w:val="center"/>
          </w:tcPr>
          <w:p>
            <w:r>
              <w:rPr>
                <w:rFonts w:ascii="Calibri" w:cs="Calibri" w:eastAsia="Calibri" w:hAnsi="Calibri"/>
                <w:b w:val="false"/>
                <w:bCs w:val="false"/>
                <w:sz w:val="18"/>
                <w:szCs w:val="18"/>
              </w:rPr>
              <w:t xml:space="preserve">7.8</w:t>
            </w:r>
          </w:p>
        </w:tc>
        <w:tc>
          <w:tcPr>
            <w:tcW w:type="dxa" w:w="1640"/>
            <w:shd w:fill="EAF1FA" w:color="auto" w:val="clear"/>
            <w:tcMar>
              <w:top w:type="dxa" w:w="80"/>
              <w:left w:type="dxa" w:w="120"/>
              <w:bottom w:type="dxa" w:w="80"/>
              <w:right w:type="dxa" w:w="120"/>
            </w:tcMar>
            <w:vAlign w:val="center"/>
          </w:tcPr>
          <w:p>
            <w:r>
              <w:rPr>
                <w:rFonts w:ascii="Calibri" w:cs="Calibri" w:eastAsia="Calibri" w:hAnsi="Calibri"/>
                <w:b w:val="false"/>
                <w:bCs w:val="false"/>
                <w:sz w:val="18"/>
                <w:szCs w:val="18"/>
              </w:rPr>
              <w:t xml:space="preserve">0</w:t>
            </w:r>
          </w:p>
        </w:tc>
        <w:tc>
          <w:tcPr>
            <w:tcW w:type="dxa" w:w="1640"/>
            <w:shd w:fill="EAF1FA" w:color="auto" w:val="clear"/>
            <w:tcMar>
              <w:top w:type="dxa" w:w="80"/>
              <w:left w:type="dxa" w:w="120"/>
              <w:bottom w:type="dxa" w:w="80"/>
              <w:right w:type="dxa" w:w="120"/>
            </w:tcMar>
            <w:vAlign w:val="center"/>
          </w:tcPr>
          <w:p>
            <w:r>
              <w:rPr>
                <w:rFonts w:ascii="Calibri" w:cs="Calibri" w:eastAsia="Calibri" w:hAnsi="Calibri"/>
                <w:b w:val="false"/>
                <w:bCs w:val="false"/>
                <w:sz w:val="18"/>
                <w:szCs w:val="18"/>
              </w:rPr>
              <w:t xml:space="preserve">40</w:t>
            </w:r>
          </w:p>
        </w:tc>
      </w:tr>
      <w:tr>
        <w:tc>
          <w:tcPr>
            <w:tcW w:type="dxa" w:w="2800"/>
            <w:tcMar>
              <w:top w:type="dxa" w:w="80"/>
              <w:left w:type="dxa" w:w="120"/>
              <w:bottom w:type="dxa" w:w="80"/>
              <w:right w:type="dxa" w:w="120"/>
            </w:tcMar>
            <w:vAlign w:val="center"/>
          </w:tcPr>
          <w:p>
            <w:r>
              <w:rPr>
                <w:rFonts w:ascii="Calibri" w:cs="Calibri" w:eastAsia="Calibri" w:hAnsi="Calibri"/>
                <w:b/>
                <w:bCs/>
                <w:sz w:val="18"/>
                <w:szCs w:val="18"/>
              </w:rPr>
              <w:t xml:space="preserve">YearsAtCompany</w:t>
            </w:r>
          </w:p>
        </w:tc>
        <w:tc>
          <w:tcPr>
            <w:tcW w:type="dxa" w:w="1640"/>
            <w:tcMar>
              <w:top w:type="dxa" w:w="80"/>
              <w:left w:type="dxa" w:w="120"/>
              <w:bottom w:type="dxa" w:w="80"/>
              <w:right w:type="dxa" w:w="120"/>
            </w:tcMar>
            <w:vAlign w:val="center"/>
          </w:tcPr>
          <w:p>
            <w:r>
              <w:rPr>
                <w:rFonts w:ascii="Calibri" w:cs="Calibri" w:eastAsia="Calibri" w:hAnsi="Calibri"/>
                <w:b w:val="false"/>
                <w:bCs w:val="false"/>
                <w:sz w:val="18"/>
                <w:szCs w:val="18"/>
              </w:rPr>
              <w:t xml:space="preserve">7.0</w:t>
            </w:r>
          </w:p>
        </w:tc>
        <w:tc>
          <w:tcPr>
            <w:tcW w:type="dxa" w:w="1640"/>
            <w:tcMar>
              <w:top w:type="dxa" w:w="80"/>
              <w:left w:type="dxa" w:w="120"/>
              <w:bottom w:type="dxa" w:w="80"/>
              <w:right w:type="dxa" w:w="120"/>
            </w:tcMar>
            <w:vAlign w:val="center"/>
          </w:tcPr>
          <w:p>
            <w:r>
              <w:rPr>
                <w:rFonts w:ascii="Calibri" w:cs="Calibri" w:eastAsia="Calibri" w:hAnsi="Calibri"/>
                <w:b w:val="false"/>
                <w:bCs w:val="false"/>
                <w:sz w:val="18"/>
                <w:szCs w:val="18"/>
              </w:rPr>
              <w:t xml:space="preserve">6.1</w:t>
            </w:r>
          </w:p>
        </w:tc>
        <w:tc>
          <w:tcPr>
            <w:tcW w:type="dxa" w:w="1640"/>
            <w:tcMar>
              <w:top w:type="dxa" w:w="80"/>
              <w:left w:type="dxa" w:w="120"/>
              <w:bottom w:type="dxa" w:w="80"/>
              <w:right w:type="dxa" w:w="120"/>
            </w:tcMar>
            <w:vAlign w:val="center"/>
          </w:tcPr>
          <w:p>
            <w:r>
              <w:rPr>
                <w:rFonts w:ascii="Calibri" w:cs="Calibri" w:eastAsia="Calibri" w:hAnsi="Calibri"/>
                <w:b w:val="false"/>
                <w:bCs w:val="false"/>
                <w:sz w:val="18"/>
                <w:szCs w:val="18"/>
              </w:rPr>
              <w:t xml:space="preserve">0</w:t>
            </w:r>
          </w:p>
        </w:tc>
        <w:tc>
          <w:tcPr>
            <w:tcW w:type="dxa" w:w="1640"/>
            <w:tcMar>
              <w:top w:type="dxa" w:w="80"/>
              <w:left w:type="dxa" w:w="120"/>
              <w:bottom w:type="dxa" w:w="80"/>
              <w:right w:type="dxa" w:w="120"/>
            </w:tcMar>
            <w:vAlign w:val="center"/>
          </w:tcPr>
          <w:p>
            <w:r>
              <w:rPr>
                <w:rFonts w:ascii="Calibri" w:cs="Calibri" w:eastAsia="Calibri" w:hAnsi="Calibri"/>
                <w:b w:val="false"/>
                <w:bCs w:val="false"/>
                <w:sz w:val="18"/>
                <w:szCs w:val="18"/>
              </w:rPr>
              <w:t xml:space="preserve">40</w:t>
            </w:r>
          </w:p>
        </w:tc>
      </w:tr>
      <w:tr>
        <w:tc>
          <w:tcPr>
            <w:tcW w:type="dxa" w:w="2800"/>
            <w:shd w:fill="EAF1FA" w:color="auto" w:val="clear"/>
            <w:tcMar>
              <w:top w:type="dxa" w:w="80"/>
              <w:left w:type="dxa" w:w="120"/>
              <w:bottom w:type="dxa" w:w="80"/>
              <w:right w:type="dxa" w:w="120"/>
            </w:tcMar>
            <w:vAlign w:val="center"/>
          </w:tcPr>
          <w:p>
            <w:r>
              <w:rPr>
                <w:rFonts w:ascii="Calibri" w:cs="Calibri" w:eastAsia="Calibri" w:hAnsi="Calibri"/>
                <w:b/>
                <w:bCs/>
                <w:sz w:val="18"/>
                <w:szCs w:val="18"/>
              </w:rPr>
              <w:t xml:space="preserve">NumCompaniesWorked</w:t>
            </w:r>
          </w:p>
        </w:tc>
        <w:tc>
          <w:tcPr>
            <w:tcW w:type="dxa" w:w="1640"/>
            <w:shd w:fill="EAF1FA" w:color="auto" w:val="clear"/>
            <w:tcMar>
              <w:top w:type="dxa" w:w="80"/>
              <w:left w:type="dxa" w:w="120"/>
              <w:bottom w:type="dxa" w:w="80"/>
              <w:right w:type="dxa" w:w="120"/>
            </w:tcMar>
            <w:vAlign w:val="center"/>
          </w:tcPr>
          <w:p>
            <w:r>
              <w:rPr>
                <w:rFonts w:ascii="Calibri" w:cs="Calibri" w:eastAsia="Calibri" w:hAnsi="Calibri"/>
                <w:b w:val="false"/>
                <w:bCs w:val="false"/>
                <w:sz w:val="18"/>
                <w:szCs w:val="18"/>
              </w:rPr>
              <w:t xml:space="preserve">2.7</w:t>
            </w:r>
          </w:p>
        </w:tc>
        <w:tc>
          <w:tcPr>
            <w:tcW w:type="dxa" w:w="1640"/>
            <w:shd w:fill="EAF1FA" w:color="auto" w:val="clear"/>
            <w:tcMar>
              <w:top w:type="dxa" w:w="80"/>
              <w:left w:type="dxa" w:w="120"/>
              <w:bottom w:type="dxa" w:w="80"/>
              <w:right w:type="dxa" w:w="120"/>
            </w:tcMar>
            <w:vAlign w:val="center"/>
          </w:tcPr>
          <w:p>
            <w:r>
              <w:rPr>
                <w:rFonts w:ascii="Calibri" w:cs="Calibri" w:eastAsia="Calibri" w:hAnsi="Calibri"/>
                <w:b w:val="false"/>
                <w:bCs w:val="false"/>
                <w:sz w:val="18"/>
                <w:szCs w:val="18"/>
              </w:rPr>
              <w:t xml:space="preserve">2.5</w:t>
            </w:r>
          </w:p>
        </w:tc>
        <w:tc>
          <w:tcPr>
            <w:tcW w:type="dxa" w:w="1640"/>
            <w:shd w:fill="EAF1FA" w:color="auto" w:val="clear"/>
            <w:tcMar>
              <w:top w:type="dxa" w:w="80"/>
              <w:left w:type="dxa" w:w="120"/>
              <w:bottom w:type="dxa" w:w="80"/>
              <w:right w:type="dxa" w:w="120"/>
            </w:tcMar>
            <w:vAlign w:val="center"/>
          </w:tcPr>
          <w:p>
            <w:r>
              <w:rPr>
                <w:rFonts w:ascii="Calibri" w:cs="Calibri" w:eastAsia="Calibri" w:hAnsi="Calibri"/>
                <w:b w:val="false"/>
                <w:bCs w:val="false"/>
                <w:sz w:val="18"/>
                <w:szCs w:val="18"/>
              </w:rPr>
              <w:t xml:space="preserve">0</w:t>
            </w:r>
          </w:p>
        </w:tc>
        <w:tc>
          <w:tcPr>
            <w:tcW w:type="dxa" w:w="1640"/>
            <w:shd w:fill="EAF1FA" w:color="auto" w:val="clear"/>
            <w:tcMar>
              <w:top w:type="dxa" w:w="80"/>
              <w:left w:type="dxa" w:w="120"/>
              <w:bottom w:type="dxa" w:w="80"/>
              <w:right w:type="dxa" w:w="120"/>
            </w:tcMar>
            <w:vAlign w:val="center"/>
          </w:tcPr>
          <w:p>
            <w:r>
              <w:rPr>
                <w:rFonts w:ascii="Calibri" w:cs="Calibri" w:eastAsia="Calibri" w:hAnsi="Calibri"/>
                <w:b w:val="false"/>
                <w:bCs w:val="false"/>
                <w:sz w:val="18"/>
                <w:szCs w:val="18"/>
              </w:rPr>
              <w:t xml:space="preserve">9</w:t>
            </w:r>
          </w:p>
        </w:tc>
      </w:tr>
      <w:tr>
        <w:tc>
          <w:tcPr>
            <w:tcW w:type="dxa" w:w="2800"/>
            <w:tcMar>
              <w:top w:type="dxa" w:w="80"/>
              <w:left w:type="dxa" w:w="120"/>
              <w:bottom w:type="dxa" w:w="80"/>
              <w:right w:type="dxa" w:w="120"/>
            </w:tcMar>
            <w:vAlign w:val="center"/>
          </w:tcPr>
          <w:p>
            <w:r>
              <w:rPr>
                <w:rFonts w:ascii="Calibri" w:cs="Calibri" w:eastAsia="Calibri" w:hAnsi="Calibri"/>
                <w:b/>
                <w:bCs/>
                <w:sz w:val="18"/>
                <w:szCs w:val="18"/>
              </w:rPr>
              <w:t xml:space="preserve">PercentSalaryHike (%)</w:t>
            </w:r>
          </w:p>
        </w:tc>
        <w:tc>
          <w:tcPr>
            <w:tcW w:type="dxa" w:w="1640"/>
            <w:tcMar>
              <w:top w:type="dxa" w:w="80"/>
              <w:left w:type="dxa" w:w="120"/>
              <w:bottom w:type="dxa" w:w="80"/>
              <w:right w:type="dxa" w:w="120"/>
            </w:tcMar>
            <w:vAlign w:val="center"/>
          </w:tcPr>
          <w:p>
            <w:r>
              <w:rPr>
                <w:rFonts w:ascii="Calibri" w:cs="Calibri" w:eastAsia="Calibri" w:hAnsi="Calibri"/>
                <w:b w:val="false"/>
                <w:bCs w:val="false"/>
                <w:sz w:val="18"/>
                <w:szCs w:val="18"/>
              </w:rPr>
              <w:t xml:space="preserve">15.2</w:t>
            </w:r>
          </w:p>
        </w:tc>
        <w:tc>
          <w:tcPr>
            <w:tcW w:type="dxa" w:w="1640"/>
            <w:tcMar>
              <w:top w:type="dxa" w:w="80"/>
              <w:left w:type="dxa" w:w="120"/>
              <w:bottom w:type="dxa" w:w="80"/>
              <w:right w:type="dxa" w:w="120"/>
            </w:tcMar>
            <w:vAlign w:val="center"/>
          </w:tcPr>
          <w:p>
            <w:r>
              <w:rPr>
                <w:rFonts w:ascii="Calibri" w:cs="Calibri" w:eastAsia="Calibri" w:hAnsi="Calibri"/>
                <w:b w:val="false"/>
                <w:bCs w:val="false"/>
                <w:sz w:val="18"/>
                <w:szCs w:val="18"/>
              </w:rPr>
              <w:t xml:space="preserve">3.7</w:t>
            </w:r>
          </w:p>
        </w:tc>
        <w:tc>
          <w:tcPr>
            <w:tcW w:type="dxa" w:w="1640"/>
            <w:tcMar>
              <w:top w:type="dxa" w:w="80"/>
              <w:left w:type="dxa" w:w="120"/>
              <w:bottom w:type="dxa" w:w="80"/>
              <w:right w:type="dxa" w:w="120"/>
            </w:tcMar>
            <w:vAlign w:val="center"/>
          </w:tcPr>
          <w:p>
            <w:r>
              <w:rPr>
                <w:rFonts w:ascii="Calibri" w:cs="Calibri" w:eastAsia="Calibri" w:hAnsi="Calibri"/>
                <w:b w:val="false"/>
                <w:bCs w:val="false"/>
                <w:sz w:val="18"/>
                <w:szCs w:val="18"/>
              </w:rPr>
              <w:t xml:space="preserve">11</w:t>
            </w:r>
          </w:p>
        </w:tc>
        <w:tc>
          <w:tcPr>
            <w:tcW w:type="dxa" w:w="1640"/>
            <w:tcMar>
              <w:top w:type="dxa" w:w="80"/>
              <w:left w:type="dxa" w:w="120"/>
              <w:bottom w:type="dxa" w:w="80"/>
              <w:right w:type="dxa" w:w="120"/>
            </w:tcMar>
            <w:vAlign w:val="center"/>
          </w:tcPr>
          <w:p>
            <w:r>
              <w:rPr>
                <w:rFonts w:ascii="Calibri" w:cs="Calibri" w:eastAsia="Calibri" w:hAnsi="Calibri"/>
                <w:b w:val="false"/>
                <w:bCs w:val="false"/>
                <w:sz w:val="18"/>
                <w:szCs w:val="18"/>
              </w:rPr>
              <w:t xml:space="preserve">25</w:t>
            </w:r>
          </w:p>
        </w:tc>
      </w:tr>
    </w:tbl>
    <w:p>
      <w:pPr>
        <w:spacing w:after="140" w:line="300"/>
      </w:pPr>
      <w:r>
        <w:rPr>
          <w:rFonts w:ascii="Calibri" w:cs="Calibri" w:eastAsia="Calibri" w:hAnsi="Calibri"/>
          <w:sz w:val="21"/>
          <w:szCs w:val="21"/>
        </w:rPr>
        <w:t xml:space="preserve">Business reading: the average employee is about 37 years old, earns roughly $6,500/month, has worked at ~2-3 companies before this one, and has been with the company for 7 years. The wide standard deviation on income ($4,708) reflects a broad spread from junior to executive pay grades — expected in a company with 5 job levels.</w:t>
      </w:r>
    </w:p>
    <w:p>
      <w:pPr>
        <w:pStyle w:val="Heading1"/>
        <w:pBdr>
          <w:bottom w:val="single" w:color="1F3864" w:sz="6" w:space="4"/>
        </w:pBdr>
        <w:spacing w:after="160" w:before="320"/>
      </w:pPr>
      <w:r>
        <w:rPr>
          <w:rFonts w:ascii="Calibri" w:cs="Calibri" w:eastAsia="Calibri" w:hAnsi="Calibri"/>
          <w:b/>
          <w:bCs/>
          <w:color w:val="1F3864"/>
          <w:sz w:val="30"/>
          <w:szCs w:val="30"/>
        </w:rPr>
        <w:t xml:space="preserve">4. Histograms — Distribution Shapes</w:t>
      </w:r>
    </w:p>
    <w:p>
      <w:pPr>
        <w:spacing w:after="140" w:line="300"/>
      </w:pPr>
      <w:r>
        <w:rPr>
          <w:rFonts w:ascii="Calibri" w:cs="Calibri" w:eastAsia="Calibri" w:hAnsi="Calibri"/>
          <w:sz w:val="21"/>
          <w:szCs w:val="21"/>
        </w:rPr>
        <w:t xml:space="preserve">Histograms show how each numeric variable is distributed across the workforce.</w:t>
      </w:r>
    </w:p>
    <w:p>
      <w:pPr>
        <w:spacing w:after="40" w:before="120"/>
        <w:jc w:val="center"/>
      </w:pPr>
      <w:r>
        <w:drawing>
          <wp:inline distT="0" distB="0" distL="0" distR="0">
            <wp:extent cx="5715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19425"/>
                    </a:xfrm>
                    <a:prstGeom prst="rect">
                      <a:avLst/>
                    </a:prstGeom>
                  </pic:spPr>
                </pic:pic>
              </a:graphicData>
            </a:graphic>
          </wp:inline>
        </w:drawing>
      </w:r>
    </w:p>
    <w:p>
      <w:pPr>
        <w:spacing w:after="200" w:before="80"/>
        <w:jc w:val="center"/>
      </w:pPr>
      <w:r>
        <w:rPr>
          <w:rFonts w:ascii="Calibri" w:cs="Calibri" w:eastAsia="Calibri" w:hAnsi="Calibri"/>
          <w:i/>
          <w:iCs/>
          <w:color w:val="595959"/>
          <w:sz w:val="18"/>
          <w:szCs w:val="18"/>
        </w:rPr>
        <w:t xml:space="preserve">Figure 1: Distribution of Age, Monthly Income, Distance From Home, Total Working Years, Years at Company, and Number of Companies Worked.</w:t>
      </w:r>
    </w:p>
    <w:p>
      <w:pPr>
        <w:spacing w:after="140" w:line="300"/>
      </w:pPr>
      <w:r>
        <w:rPr>
          <w:rFonts w:ascii="Calibri" w:cs="Calibri" w:eastAsia="Calibri" w:hAnsi="Calibri"/>
          <w:sz w:val="21"/>
          <w:szCs w:val="21"/>
        </w:rPr>
        <w:t xml:space="preserve">Business interpretation: Age is roughly bell-shaped, centered in the early-to-mid 30s — a healthy, experience-balanced workforce. Monthly Income is right-skewed: most employees earn under $8,000/month with a long tail of senior/executive earners, which is normal for a leveled compensation structure. Total Working Years and Years at Company are also right-skewed, showing most employees are early-to-mid career, with a smaller group of long-tenured veterans. Distance From Home skews short, meaning most employees live close to work, but a meaningful minority commute much farther — a group worth watching for commute-related attrition risk.</w:t>
      </w:r>
    </w:p>
    <w:p>
      <w:pPr>
        <w:pStyle w:val="Heading1"/>
        <w:pBdr>
          <w:bottom w:val="single" w:color="1F3864" w:sz="6" w:space="4"/>
        </w:pBdr>
        <w:spacing w:after="160" w:before="320"/>
      </w:pPr>
      <w:r>
        <w:rPr>
          <w:rFonts w:ascii="Calibri" w:cs="Calibri" w:eastAsia="Calibri" w:hAnsi="Calibri"/>
          <w:b/>
          <w:bCs/>
          <w:color w:val="1F3864"/>
          <w:sz w:val="30"/>
          <w:szCs w:val="30"/>
        </w:rPr>
        <w:t xml:space="preserve">5. Boxplots — Attrition Comparison</w:t>
      </w:r>
    </w:p>
    <w:p>
      <w:pPr>
        <w:spacing w:after="140" w:line="300"/>
      </w:pPr>
      <w:r>
        <w:rPr>
          <w:rFonts w:ascii="Calibri" w:cs="Calibri" w:eastAsia="Calibri" w:hAnsi="Calibri"/>
          <w:sz w:val="21"/>
          <w:szCs w:val="21"/>
        </w:rPr>
        <w:t xml:space="preserve">Boxplots compare the spread of key numeric variables between employees who left (Yes) and those who stayed (No).</w:t>
      </w:r>
    </w:p>
    <w:p>
      <w:pPr>
        <w:spacing w:after="40" w:before="120"/>
        <w:jc w:val="center"/>
      </w:pPr>
      <w:r>
        <w:drawing>
          <wp:inline distT="0" distB="0" distL="0" distR="0">
            <wp:extent cx="5715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19425"/>
                    </a:xfrm>
                    <a:prstGeom prst="rect">
                      <a:avLst/>
                    </a:prstGeom>
                  </pic:spPr>
                </pic:pic>
              </a:graphicData>
            </a:graphic>
          </wp:inline>
        </w:drawing>
      </w:r>
    </w:p>
    <w:p>
      <w:pPr>
        <w:spacing w:after="200" w:before="80"/>
        <w:jc w:val="center"/>
      </w:pPr>
      <w:r>
        <w:rPr>
          <w:rFonts w:ascii="Calibri" w:cs="Calibri" w:eastAsia="Calibri" w:hAnsi="Calibri"/>
          <w:i/>
          <w:iCs/>
          <w:color w:val="595959"/>
          <w:sz w:val="18"/>
          <w:szCs w:val="18"/>
        </w:rPr>
        <w:t xml:space="preserve">Figure 2: Monthly Income, Age, Total Working Years, Years at Company, Distance From Home, and Number of Companies Worked, split by Attrition.</w:t>
      </w:r>
    </w:p>
    <w:p>
      <w:pPr>
        <w:spacing w:after="140" w:line="300"/>
      </w:pPr>
      <w:r>
        <w:rPr>
          <w:rFonts w:ascii="Calibri" w:cs="Calibri" w:eastAsia="Calibri" w:hAnsi="Calibri"/>
          <w:sz w:val="21"/>
          <w:szCs w:val="21"/>
        </w:rPr>
        <w:t xml:space="preserve">Business interpretation: Employees who left tend to have visibly lower Monthly Income, are younger, and have fewer Total Working Years and less time at the company than those who stayed — a classic 'early-career flight risk' pattern. Distance From Home is only slightly higher for leavers, suggesting commute distance is a secondary factor. Number of Companies Worked is fairly similar between the two groups, meaning job-hopping history alone isn't a strong standalone differentiator once other factors are considered.</w:t>
      </w:r>
    </w:p>
    <w:p>
      <w:pPr>
        <w:pStyle w:val="Heading1"/>
        <w:pBdr>
          <w:bottom w:val="single" w:color="1F3864" w:sz="6" w:space="4"/>
        </w:pBdr>
        <w:spacing w:after="160" w:before="320"/>
      </w:pPr>
      <w:r>
        <w:rPr>
          <w:rFonts w:ascii="Calibri" w:cs="Calibri" w:eastAsia="Calibri" w:hAnsi="Calibri"/>
          <w:b/>
          <w:bCs/>
          <w:color w:val="1F3864"/>
          <w:sz w:val="30"/>
          <w:szCs w:val="30"/>
        </w:rPr>
        <w:t xml:space="preserve">6. Countplots — Categorical Breakdown by Attrition</w:t>
      </w:r>
    </w:p>
    <w:p>
      <w:pPr>
        <w:spacing w:after="140" w:line="300"/>
      </w:pPr>
      <w:r>
        <w:rPr>
          <w:rFonts w:ascii="Calibri" w:cs="Calibri" w:eastAsia="Calibri" w:hAnsi="Calibri"/>
          <w:sz w:val="21"/>
          <w:szCs w:val="21"/>
        </w:rPr>
        <w:t xml:space="preserve">Countplots show how attrition is distributed across categorical employee segments.</w:t>
      </w:r>
    </w:p>
    <w:p>
      <w:pPr>
        <w:spacing w:after="40" w:before="120"/>
        <w:jc w:val="center"/>
      </w:pPr>
      <w:r>
        <w:drawing>
          <wp:inline distT="0" distB="0" distL="0" distR="0">
            <wp:extent cx="59055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76650"/>
                    </a:xfrm>
                    <a:prstGeom prst="rect">
                      <a:avLst/>
                    </a:prstGeom>
                  </pic:spPr>
                </pic:pic>
              </a:graphicData>
            </a:graphic>
          </wp:inline>
        </w:drawing>
      </w:r>
    </w:p>
    <w:p>
      <w:pPr>
        <w:spacing w:after="200" w:before="80"/>
        <w:jc w:val="center"/>
      </w:pPr>
      <w:r>
        <w:rPr>
          <w:rFonts w:ascii="Calibri" w:cs="Calibri" w:eastAsia="Calibri" w:hAnsi="Calibri"/>
          <w:i/>
          <w:iCs/>
          <w:color w:val="595959"/>
          <w:sz w:val="18"/>
          <w:szCs w:val="18"/>
        </w:rPr>
        <w:t xml:space="preserve">Figure 3: Attrition counts by Department, OverTime, Job Role, Marital Status, Business Travel, and Gender.</w:t>
      </w:r>
    </w:p>
    <w:p>
      <w:pPr>
        <w:spacing w:after="140" w:line="300"/>
      </w:pPr>
      <w:r>
        <w:rPr>
          <w:rFonts w:ascii="Calibri" w:cs="Calibri" w:eastAsia="Calibri" w:hAnsi="Calibri"/>
          <w:sz w:val="21"/>
          <w:szCs w:val="21"/>
        </w:rPr>
        <w:t xml:space="preserve">Business interpretation: Research &amp; Development has the largest headcount and the most absolute leavers, but Sales shows a higher leaving rate relative to its size. OverTime stands out sharply — employees who work overtime leave far more often than those who don't, making it one of the clearest actionable signals in the dataset. Among job roles, Sales Representatives and Laboratory Technicians show proportionally higher attrition. Single employees leave more often than married or divorced employees, consistent with fewer household ties. Frequent travelers also show elevated attrition versus non-travelers. Gender shows only a small difference between groups.</w:t>
      </w:r>
    </w:p>
    <w:p>
      <w:pPr>
        <w:pStyle w:val="Heading1"/>
        <w:pBdr>
          <w:bottom w:val="single" w:color="1F3864" w:sz="6" w:space="4"/>
        </w:pBdr>
        <w:spacing w:after="160" w:before="320"/>
      </w:pPr>
      <w:r>
        <w:rPr>
          <w:rFonts w:ascii="Calibri" w:cs="Calibri" w:eastAsia="Calibri" w:hAnsi="Calibri"/>
          <w:b/>
          <w:bCs/>
          <w:color w:val="1F3864"/>
          <w:sz w:val="30"/>
          <w:szCs w:val="30"/>
        </w:rPr>
        <w:t xml:space="preserve">7. Pie Charts — Workforce Composition</w:t>
      </w:r>
    </w:p>
    <w:p>
      <w:pPr>
        <w:spacing w:after="140" w:line="300"/>
      </w:pPr>
      <w:r>
        <w:rPr>
          <w:rFonts w:ascii="Calibri" w:cs="Calibri" w:eastAsia="Calibri" w:hAnsi="Calibri"/>
          <w:sz w:val="21"/>
          <w:szCs w:val="21"/>
        </w:rPr>
        <w:t xml:space="preserve">Pie charts are used here only for genuinely low-cardinality splits, where a part-to-whole view is meaningful.</w:t>
      </w:r>
    </w:p>
    <w:p>
      <w:pPr>
        <w:spacing w:after="40" w:before="120"/>
        <w:jc w:val="center"/>
      </w:pPr>
      <w:r>
        <w:drawing>
          <wp:inline distT="0" distB="0" distL="0" distR="0">
            <wp:extent cx="59055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200150"/>
                    </a:xfrm>
                    <a:prstGeom prst="rect">
                      <a:avLst/>
                    </a:prstGeom>
                  </pic:spPr>
                </pic:pic>
              </a:graphicData>
            </a:graphic>
          </wp:inline>
        </w:drawing>
      </w:r>
    </w:p>
    <w:p>
      <w:pPr>
        <w:spacing w:after="200" w:before="80"/>
        <w:jc w:val="center"/>
      </w:pPr>
      <w:r>
        <w:rPr>
          <w:rFonts w:ascii="Calibri" w:cs="Calibri" w:eastAsia="Calibri" w:hAnsi="Calibri"/>
          <w:i/>
          <w:iCs/>
          <w:color w:val="595959"/>
          <w:sz w:val="18"/>
          <w:szCs w:val="18"/>
        </w:rPr>
        <w:t xml:space="preserve">Figure 4: Overall composition of Attrition, Department, Gender, and Marital Status.</w:t>
      </w:r>
    </w:p>
    <w:p>
      <w:pPr>
        <w:spacing w:after="140" w:line="300"/>
      </w:pPr>
      <w:r>
        <w:rPr>
          <w:rFonts w:ascii="Calibri" w:cs="Calibri" w:eastAsia="Calibri" w:hAnsi="Calibri"/>
          <w:sz w:val="21"/>
          <w:szCs w:val="21"/>
        </w:rPr>
        <w:t xml:space="preserve">Business interpretation: About 1 in 6 employees (16.1%) has left the company — this is the baseline attrition rate against which every segment should be judged. Nearly two-thirds of the workforce sits in Research &amp; Development, so even small percentage shifts there carry large headcount impact. The workforce is roughly 60% male / 40% female, and marital status is fairly evenly split between married, single, and divorced employees, with married employees forming the largest group.</w:t>
      </w:r>
    </w:p>
    <w:p>
      <w:pPr>
        <w:pStyle w:val="Heading1"/>
        <w:pBdr>
          <w:bottom w:val="single" w:color="1F3864" w:sz="6" w:space="4"/>
        </w:pBdr>
        <w:spacing w:after="160" w:before="320"/>
      </w:pPr>
      <w:r>
        <w:rPr>
          <w:rFonts w:ascii="Calibri" w:cs="Calibri" w:eastAsia="Calibri" w:hAnsi="Calibri"/>
          <w:b/>
          <w:bCs/>
          <w:color w:val="1F3864"/>
          <w:sz w:val="30"/>
          <w:szCs w:val="30"/>
        </w:rPr>
        <w:t xml:space="preserve">8. Correlation Heatmap</w:t>
      </w:r>
    </w:p>
    <w:p>
      <w:pPr>
        <w:spacing w:after="140" w:line="300"/>
      </w:pPr>
      <w:r>
        <w:rPr>
          <w:rFonts w:ascii="Calibri" w:cs="Calibri" w:eastAsia="Calibri" w:hAnsi="Calibri"/>
          <w:sz w:val="21"/>
          <w:szCs w:val="21"/>
        </w:rPr>
        <w:t xml:space="preserve">The heatmap shows how strongly every numeric feature relates to every other numeric feature, including the Attrition flag.</w:t>
      </w:r>
    </w:p>
    <w:p>
      <w:pPr>
        <w:spacing w:after="40" w:before="120"/>
        <w:jc w:val="center"/>
      </w:pPr>
      <w:r>
        <w:drawing>
          <wp:inline distT="0" distB="0" distL="0" distR="0">
            <wp:extent cx="49530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4219575"/>
                    </a:xfrm>
                    <a:prstGeom prst="rect">
                      <a:avLst/>
                    </a:prstGeom>
                  </pic:spPr>
                </pic:pic>
              </a:graphicData>
            </a:graphic>
          </wp:inline>
        </w:drawing>
      </w:r>
    </w:p>
    <w:p>
      <w:pPr>
        <w:spacing w:after="200" w:before="80"/>
        <w:jc w:val="center"/>
      </w:pPr>
      <w:r>
        <w:rPr>
          <w:rFonts w:ascii="Calibri" w:cs="Calibri" w:eastAsia="Calibri" w:hAnsi="Calibri"/>
          <w:i/>
          <w:iCs/>
          <w:color w:val="595959"/>
          <w:sz w:val="18"/>
          <w:szCs w:val="18"/>
        </w:rPr>
        <w:t xml:space="preserve">Figure 5: Correlation heatmap across all numeric features (red = positive correlation, blue = negative correlation).</w:t>
      </w:r>
    </w:p>
    <w:p>
      <w:pPr>
        <w:spacing w:after="140" w:line="300"/>
      </w:pPr>
      <w:r>
        <w:rPr>
          <w:rFonts w:ascii="Calibri" w:cs="Calibri" w:eastAsia="Calibri" w:hAnsi="Calibri"/>
          <w:sz w:val="21"/>
          <w:szCs w:val="21"/>
        </w:rPr>
        <w:t xml:space="preserve">Business interpretation: Several tenure-related fields move together strongly, as expected — Years at Company, Years in Current Role, Years with Current Manager, and Years Since Last Promotion are all highly correlated, essentially describing the same underlying 'career stage' concept. Job Level, Monthly Income, and Total Working Years also cluster together, reflecting a consistent, logical pay-for-experience structure. None of these strong relationships are surprising or indicate a data problem — they confirm the compensation and career-progression system is internally consistent.</w:t>
      </w:r>
    </w:p>
    <w:p>
      <w:pPr>
        <w:spacing w:after="140" w:line="300"/>
      </w:pPr>
      <w:r>
        <w:rPr>
          <w:rFonts w:ascii="Calibri" w:cs="Calibri" w:eastAsia="Calibri" w:hAnsi="Calibri"/>
          <w:sz w:val="21"/>
          <w:szCs w:val="21"/>
        </w:rPr>
        <w:t xml:space="preserve">Correlations specifically with Attrition (from strongest to weakest):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shd w:fill="1F3864"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Feature</w:t>
            </w:r>
          </w:p>
        </w:tc>
        <w:tc>
          <w:tcPr>
            <w:tcW w:type="dxa" w:w="1400"/>
            <w:shd w:fill="1F3864"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Correlation</w:t>
            </w:r>
          </w:p>
        </w:tc>
        <w:tc>
          <w:tcPr>
            <w:tcW w:type="dxa" w:w="5560"/>
            <w:shd w:fill="1F3864"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Business Reading</w:t>
            </w:r>
          </w:p>
        </w:tc>
      </w:tr>
      <w:tr>
        <w:tc>
          <w:tcPr>
            <w:tcW w:type="dxa" w:w="2400"/>
            <w:tcMar>
              <w:top w:type="dxa" w:w="80"/>
              <w:left w:type="dxa" w:w="120"/>
              <w:bottom w:type="dxa" w:w="80"/>
              <w:right w:type="dxa" w:w="120"/>
            </w:tcMar>
            <w:vAlign w:val="center"/>
          </w:tcPr>
          <w:p>
            <w:r>
              <w:rPr>
                <w:rFonts w:ascii="Calibri" w:cs="Calibri" w:eastAsia="Calibri" w:hAnsi="Calibri"/>
                <w:b/>
                <w:bCs/>
                <w:sz w:val="18"/>
                <w:szCs w:val="18"/>
              </w:rPr>
              <w:t xml:space="preserve">OverTime</w:t>
            </w:r>
          </w:p>
        </w:tc>
        <w:tc>
          <w:tcPr>
            <w:tcW w:type="dxa" w:w="1400"/>
            <w:tcMar>
              <w:top w:type="dxa" w:w="80"/>
              <w:left w:type="dxa" w:w="120"/>
              <w:bottom w:type="dxa" w:w="80"/>
              <w:right w:type="dxa" w:w="120"/>
            </w:tcMar>
            <w:vAlign w:val="center"/>
          </w:tcPr>
          <w:p>
            <w:r>
              <w:rPr>
                <w:rFonts w:ascii="Calibri" w:cs="Calibri" w:eastAsia="Calibri" w:hAnsi="Calibri"/>
                <w:b w:val="false"/>
                <w:bCs w:val="false"/>
                <w:sz w:val="18"/>
                <w:szCs w:val="18"/>
              </w:rPr>
              <w:t xml:space="preserve">+0.246</w:t>
            </w:r>
          </w:p>
        </w:tc>
        <w:tc>
          <w:tcPr>
            <w:tcW w:type="dxa" w:w="5560"/>
            <w:tcMar>
              <w:top w:type="dxa" w:w="80"/>
              <w:left w:type="dxa" w:w="120"/>
              <w:bottom w:type="dxa" w:w="80"/>
              <w:right w:type="dxa" w:w="120"/>
            </w:tcMar>
            <w:vAlign w:val="center"/>
          </w:tcPr>
          <w:p>
            <w:r>
              <w:rPr>
                <w:rFonts w:ascii="Calibri" w:cs="Calibri" w:eastAsia="Calibri" w:hAnsi="Calibri"/>
                <w:b w:val="false"/>
                <w:bCs w:val="false"/>
                <w:sz w:val="18"/>
                <w:szCs w:val="18"/>
              </w:rPr>
              <w:t xml:space="preserve">Employees who work overtime are noticeably more likely to leave.</w:t>
            </w:r>
          </w:p>
        </w:tc>
      </w:tr>
      <w:tr>
        <w:tc>
          <w:tcPr>
            <w:tcW w:type="dxa" w:w="2400"/>
            <w:shd w:fill="EAF1FA" w:color="auto" w:val="clear"/>
            <w:tcMar>
              <w:top w:type="dxa" w:w="80"/>
              <w:left w:type="dxa" w:w="120"/>
              <w:bottom w:type="dxa" w:w="80"/>
              <w:right w:type="dxa" w:w="120"/>
            </w:tcMar>
            <w:vAlign w:val="center"/>
          </w:tcPr>
          <w:p>
            <w:r>
              <w:rPr>
                <w:rFonts w:ascii="Calibri" w:cs="Calibri" w:eastAsia="Calibri" w:hAnsi="Calibri"/>
                <w:b/>
                <w:bCs/>
                <w:sz w:val="18"/>
                <w:szCs w:val="18"/>
              </w:rPr>
              <w:t xml:space="preserve">TotalWorkingYears</w:t>
            </w:r>
          </w:p>
        </w:tc>
        <w:tc>
          <w:tcPr>
            <w:tcW w:type="dxa" w:w="1400"/>
            <w:shd w:fill="EAF1FA" w:color="auto" w:val="clear"/>
            <w:tcMar>
              <w:top w:type="dxa" w:w="80"/>
              <w:left w:type="dxa" w:w="120"/>
              <w:bottom w:type="dxa" w:w="80"/>
              <w:right w:type="dxa" w:w="120"/>
            </w:tcMar>
            <w:vAlign w:val="center"/>
          </w:tcPr>
          <w:p>
            <w:r>
              <w:rPr>
                <w:rFonts w:ascii="Calibri" w:cs="Calibri" w:eastAsia="Calibri" w:hAnsi="Calibri"/>
                <w:b w:val="false"/>
                <w:bCs w:val="false"/>
                <w:sz w:val="18"/>
                <w:szCs w:val="18"/>
              </w:rPr>
              <w:t xml:space="preserve">-0.171</w:t>
            </w:r>
          </w:p>
        </w:tc>
        <w:tc>
          <w:tcPr>
            <w:tcW w:type="dxa" w:w="5560"/>
            <w:shd w:fill="EAF1FA" w:color="auto" w:val="clear"/>
            <w:tcMar>
              <w:top w:type="dxa" w:w="80"/>
              <w:left w:type="dxa" w:w="120"/>
              <w:bottom w:type="dxa" w:w="80"/>
              <w:right w:type="dxa" w:w="120"/>
            </w:tcMar>
            <w:vAlign w:val="center"/>
          </w:tcPr>
          <w:p>
            <w:r>
              <w:rPr>
                <w:rFonts w:ascii="Calibri" w:cs="Calibri" w:eastAsia="Calibri" w:hAnsi="Calibri"/>
                <w:b w:val="false"/>
                <w:bCs w:val="false"/>
                <w:sz w:val="18"/>
                <w:szCs w:val="18"/>
              </w:rPr>
              <w:t xml:space="preserve">More total career experience is associated with lower attrition.</w:t>
            </w:r>
          </w:p>
        </w:tc>
      </w:tr>
      <w:tr>
        <w:tc>
          <w:tcPr>
            <w:tcW w:type="dxa" w:w="2400"/>
            <w:tcMar>
              <w:top w:type="dxa" w:w="80"/>
              <w:left w:type="dxa" w:w="120"/>
              <w:bottom w:type="dxa" w:w="80"/>
              <w:right w:type="dxa" w:w="120"/>
            </w:tcMar>
            <w:vAlign w:val="center"/>
          </w:tcPr>
          <w:p>
            <w:r>
              <w:rPr>
                <w:rFonts w:ascii="Calibri" w:cs="Calibri" w:eastAsia="Calibri" w:hAnsi="Calibri"/>
                <w:b/>
                <w:bCs/>
                <w:sz w:val="18"/>
                <w:szCs w:val="18"/>
              </w:rPr>
              <w:t xml:space="preserve">JobLevel</w:t>
            </w:r>
          </w:p>
        </w:tc>
        <w:tc>
          <w:tcPr>
            <w:tcW w:type="dxa" w:w="1400"/>
            <w:tcMar>
              <w:top w:type="dxa" w:w="80"/>
              <w:left w:type="dxa" w:w="120"/>
              <w:bottom w:type="dxa" w:w="80"/>
              <w:right w:type="dxa" w:w="120"/>
            </w:tcMar>
            <w:vAlign w:val="center"/>
          </w:tcPr>
          <w:p>
            <w:r>
              <w:rPr>
                <w:rFonts w:ascii="Calibri" w:cs="Calibri" w:eastAsia="Calibri" w:hAnsi="Calibri"/>
                <w:b w:val="false"/>
                <w:bCs w:val="false"/>
                <w:sz w:val="18"/>
                <w:szCs w:val="18"/>
              </w:rPr>
              <w:t xml:space="preserve">-0.169</w:t>
            </w:r>
          </w:p>
        </w:tc>
        <w:tc>
          <w:tcPr>
            <w:tcW w:type="dxa" w:w="5560"/>
            <w:tcMar>
              <w:top w:type="dxa" w:w="80"/>
              <w:left w:type="dxa" w:w="120"/>
              <w:bottom w:type="dxa" w:w="80"/>
              <w:right w:type="dxa" w:w="120"/>
            </w:tcMar>
            <w:vAlign w:val="center"/>
          </w:tcPr>
          <w:p>
            <w:r>
              <w:rPr>
                <w:rFonts w:ascii="Calibri" w:cs="Calibri" w:eastAsia="Calibri" w:hAnsi="Calibri"/>
                <w:b w:val="false"/>
                <w:bCs w:val="false"/>
                <w:sz w:val="18"/>
                <w:szCs w:val="18"/>
              </w:rPr>
              <w:t xml:space="preserve">Higher job levels (more senior roles) see less attrition.</w:t>
            </w:r>
          </w:p>
        </w:tc>
      </w:tr>
      <w:tr>
        <w:tc>
          <w:tcPr>
            <w:tcW w:type="dxa" w:w="2400"/>
            <w:shd w:fill="EAF1FA" w:color="auto" w:val="clear"/>
            <w:tcMar>
              <w:top w:type="dxa" w:w="80"/>
              <w:left w:type="dxa" w:w="120"/>
              <w:bottom w:type="dxa" w:w="80"/>
              <w:right w:type="dxa" w:w="120"/>
            </w:tcMar>
            <w:vAlign w:val="center"/>
          </w:tcPr>
          <w:p>
            <w:r>
              <w:rPr>
                <w:rFonts w:ascii="Calibri" w:cs="Calibri" w:eastAsia="Calibri" w:hAnsi="Calibri"/>
                <w:b/>
                <w:bCs/>
                <w:sz w:val="18"/>
                <w:szCs w:val="18"/>
              </w:rPr>
              <w:t xml:space="preserve">YearsInCurrentRole</w:t>
            </w:r>
          </w:p>
        </w:tc>
        <w:tc>
          <w:tcPr>
            <w:tcW w:type="dxa" w:w="1400"/>
            <w:shd w:fill="EAF1FA" w:color="auto" w:val="clear"/>
            <w:tcMar>
              <w:top w:type="dxa" w:w="80"/>
              <w:left w:type="dxa" w:w="120"/>
              <w:bottom w:type="dxa" w:w="80"/>
              <w:right w:type="dxa" w:w="120"/>
            </w:tcMar>
            <w:vAlign w:val="center"/>
          </w:tcPr>
          <w:p>
            <w:r>
              <w:rPr>
                <w:rFonts w:ascii="Calibri" w:cs="Calibri" w:eastAsia="Calibri" w:hAnsi="Calibri"/>
                <w:b w:val="false"/>
                <w:bCs w:val="false"/>
                <w:sz w:val="18"/>
                <w:szCs w:val="18"/>
              </w:rPr>
              <w:t xml:space="preserve">-0.161</w:t>
            </w:r>
          </w:p>
        </w:tc>
        <w:tc>
          <w:tcPr>
            <w:tcW w:type="dxa" w:w="5560"/>
            <w:shd w:fill="EAF1FA" w:color="auto" w:val="clear"/>
            <w:tcMar>
              <w:top w:type="dxa" w:w="80"/>
              <w:left w:type="dxa" w:w="120"/>
              <w:bottom w:type="dxa" w:w="80"/>
              <w:right w:type="dxa" w:w="120"/>
            </w:tcMar>
            <w:vAlign w:val="center"/>
          </w:tcPr>
          <w:p>
            <w:r>
              <w:rPr>
                <w:rFonts w:ascii="Calibri" w:cs="Calibri" w:eastAsia="Calibri" w:hAnsi="Calibri"/>
                <w:b w:val="false"/>
                <w:bCs w:val="false"/>
                <w:sz w:val="18"/>
                <w:szCs w:val="18"/>
              </w:rPr>
              <w:t xml:space="preserve">Longer time in the current role correlates with more stability.</w:t>
            </w:r>
          </w:p>
        </w:tc>
      </w:tr>
      <w:tr>
        <w:tc>
          <w:tcPr>
            <w:tcW w:type="dxa" w:w="2400"/>
            <w:tcMar>
              <w:top w:type="dxa" w:w="80"/>
              <w:left w:type="dxa" w:w="120"/>
              <w:bottom w:type="dxa" w:w="80"/>
              <w:right w:type="dxa" w:w="120"/>
            </w:tcMar>
            <w:vAlign w:val="center"/>
          </w:tcPr>
          <w:p>
            <w:r>
              <w:rPr>
                <w:rFonts w:ascii="Calibri" w:cs="Calibri" w:eastAsia="Calibri" w:hAnsi="Calibri"/>
                <w:b/>
                <w:bCs/>
                <w:sz w:val="18"/>
                <w:szCs w:val="18"/>
              </w:rPr>
              <w:t xml:space="preserve">MonthlyIncome</w:t>
            </w:r>
          </w:p>
        </w:tc>
        <w:tc>
          <w:tcPr>
            <w:tcW w:type="dxa" w:w="1400"/>
            <w:tcMar>
              <w:top w:type="dxa" w:w="80"/>
              <w:left w:type="dxa" w:w="120"/>
              <w:bottom w:type="dxa" w:w="80"/>
              <w:right w:type="dxa" w:w="120"/>
            </w:tcMar>
            <w:vAlign w:val="center"/>
          </w:tcPr>
          <w:p>
            <w:r>
              <w:rPr>
                <w:rFonts w:ascii="Calibri" w:cs="Calibri" w:eastAsia="Calibri" w:hAnsi="Calibri"/>
                <w:b w:val="false"/>
                <w:bCs w:val="false"/>
                <w:sz w:val="18"/>
                <w:szCs w:val="18"/>
              </w:rPr>
              <w:t xml:space="preserve">-0.160</w:t>
            </w:r>
          </w:p>
        </w:tc>
        <w:tc>
          <w:tcPr>
            <w:tcW w:type="dxa" w:w="5560"/>
            <w:tcMar>
              <w:top w:type="dxa" w:w="80"/>
              <w:left w:type="dxa" w:w="120"/>
              <w:bottom w:type="dxa" w:w="80"/>
              <w:right w:type="dxa" w:w="120"/>
            </w:tcMar>
            <w:vAlign w:val="center"/>
          </w:tcPr>
          <w:p>
            <w:r>
              <w:rPr>
                <w:rFonts w:ascii="Calibri" w:cs="Calibri" w:eastAsia="Calibri" w:hAnsi="Calibri"/>
                <w:b w:val="false"/>
                <w:bCs w:val="false"/>
                <w:sz w:val="18"/>
                <w:szCs w:val="18"/>
              </w:rPr>
              <w:t xml:space="preserve">Lower earners are somewhat more likely to leave.</w:t>
            </w:r>
          </w:p>
        </w:tc>
      </w:tr>
      <w:tr>
        <w:tc>
          <w:tcPr>
            <w:tcW w:type="dxa" w:w="2400"/>
            <w:shd w:fill="EAF1FA" w:color="auto" w:val="clear"/>
            <w:tcMar>
              <w:top w:type="dxa" w:w="80"/>
              <w:left w:type="dxa" w:w="120"/>
              <w:bottom w:type="dxa" w:w="80"/>
              <w:right w:type="dxa" w:w="120"/>
            </w:tcMar>
            <w:vAlign w:val="center"/>
          </w:tcPr>
          <w:p>
            <w:r>
              <w:rPr>
                <w:rFonts w:ascii="Calibri" w:cs="Calibri" w:eastAsia="Calibri" w:hAnsi="Calibri"/>
                <w:b/>
                <w:bCs/>
                <w:sz w:val="18"/>
                <w:szCs w:val="18"/>
              </w:rPr>
              <w:t xml:space="preserve">Age</w:t>
            </w:r>
          </w:p>
        </w:tc>
        <w:tc>
          <w:tcPr>
            <w:tcW w:type="dxa" w:w="1400"/>
            <w:shd w:fill="EAF1FA" w:color="auto" w:val="clear"/>
            <w:tcMar>
              <w:top w:type="dxa" w:w="80"/>
              <w:left w:type="dxa" w:w="120"/>
              <w:bottom w:type="dxa" w:w="80"/>
              <w:right w:type="dxa" w:w="120"/>
            </w:tcMar>
            <w:vAlign w:val="center"/>
          </w:tcPr>
          <w:p>
            <w:r>
              <w:rPr>
                <w:rFonts w:ascii="Calibri" w:cs="Calibri" w:eastAsia="Calibri" w:hAnsi="Calibri"/>
                <w:b w:val="false"/>
                <w:bCs w:val="false"/>
                <w:sz w:val="18"/>
                <w:szCs w:val="18"/>
              </w:rPr>
              <w:t xml:space="preserve">-0.159</w:t>
            </w:r>
          </w:p>
        </w:tc>
        <w:tc>
          <w:tcPr>
            <w:tcW w:type="dxa" w:w="5560"/>
            <w:shd w:fill="EAF1FA" w:color="auto" w:val="clear"/>
            <w:tcMar>
              <w:top w:type="dxa" w:w="80"/>
              <w:left w:type="dxa" w:w="120"/>
              <w:bottom w:type="dxa" w:w="80"/>
              <w:right w:type="dxa" w:w="120"/>
            </w:tcMar>
            <w:vAlign w:val="center"/>
          </w:tcPr>
          <w:p>
            <w:r>
              <w:rPr>
                <w:rFonts w:ascii="Calibri" w:cs="Calibri" w:eastAsia="Calibri" w:hAnsi="Calibri"/>
                <w:b w:val="false"/>
                <w:bCs w:val="false"/>
                <w:sz w:val="18"/>
                <w:szCs w:val="18"/>
              </w:rPr>
              <w:t xml:space="preserve">Younger employees show a mild tendency toward higher attrition.</w:t>
            </w:r>
          </w:p>
        </w:tc>
      </w:tr>
      <w:tr>
        <w:tc>
          <w:tcPr>
            <w:tcW w:type="dxa" w:w="2400"/>
            <w:tcMar>
              <w:top w:type="dxa" w:w="80"/>
              <w:left w:type="dxa" w:w="120"/>
              <w:bottom w:type="dxa" w:w="80"/>
              <w:right w:type="dxa" w:w="120"/>
            </w:tcMar>
            <w:vAlign w:val="center"/>
          </w:tcPr>
          <w:p>
            <w:r>
              <w:rPr>
                <w:rFonts w:ascii="Calibri" w:cs="Calibri" w:eastAsia="Calibri" w:hAnsi="Calibri"/>
                <w:b/>
                <w:bCs/>
                <w:sz w:val="18"/>
                <w:szCs w:val="18"/>
              </w:rPr>
              <w:t xml:space="preserve">YearsWithCurrManager</w:t>
            </w:r>
          </w:p>
        </w:tc>
        <w:tc>
          <w:tcPr>
            <w:tcW w:type="dxa" w:w="1400"/>
            <w:tcMar>
              <w:top w:type="dxa" w:w="80"/>
              <w:left w:type="dxa" w:w="120"/>
              <w:bottom w:type="dxa" w:w="80"/>
              <w:right w:type="dxa" w:w="120"/>
            </w:tcMar>
            <w:vAlign w:val="center"/>
          </w:tcPr>
          <w:p>
            <w:r>
              <w:rPr>
                <w:rFonts w:ascii="Calibri" w:cs="Calibri" w:eastAsia="Calibri" w:hAnsi="Calibri"/>
                <w:b w:val="false"/>
                <w:bCs w:val="false"/>
                <w:sz w:val="18"/>
                <w:szCs w:val="18"/>
              </w:rPr>
              <w:t xml:space="preserve">-0.156</w:t>
            </w:r>
          </w:p>
        </w:tc>
        <w:tc>
          <w:tcPr>
            <w:tcW w:type="dxa" w:w="5560"/>
            <w:tcMar>
              <w:top w:type="dxa" w:w="80"/>
              <w:left w:type="dxa" w:w="120"/>
              <w:bottom w:type="dxa" w:w="80"/>
              <w:right w:type="dxa" w:w="120"/>
            </w:tcMar>
            <w:vAlign w:val="center"/>
          </w:tcPr>
          <w:p>
            <w:r>
              <w:rPr>
                <w:rFonts w:ascii="Calibri" w:cs="Calibri" w:eastAsia="Calibri" w:hAnsi="Calibri"/>
                <w:b w:val="false"/>
                <w:bCs w:val="false"/>
                <w:sz w:val="18"/>
                <w:szCs w:val="18"/>
              </w:rPr>
              <w:t xml:space="preserve">Longer relationships with a manager correlate with staying longer.</w:t>
            </w:r>
          </w:p>
        </w:tc>
      </w:tr>
      <w:tr>
        <w:tc>
          <w:tcPr>
            <w:tcW w:type="dxa" w:w="2400"/>
            <w:shd w:fill="EAF1FA" w:color="auto" w:val="clear"/>
            <w:tcMar>
              <w:top w:type="dxa" w:w="80"/>
              <w:left w:type="dxa" w:w="120"/>
              <w:bottom w:type="dxa" w:w="80"/>
              <w:right w:type="dxa" w:w="120"/>
            </w:tcMar>
            <w:vAlign w:val="center"/>
          </w:tcPr>
          <w:p>
            <w:r>
              <w:rPr>
                <w:rFonts w:ascii="Calibri" w:cs="Calibri" w:eastAsia="Calibri" w:hAnsi="Calibri"/>
                <w:b/>
                <w:bCs/>
                <w:sz w:val="18"/>
                <w:szCs w:val="18"/>
              </w:rPr>
              <w:t xml:space="preserve">StockOptionLevel</w:t>
            </w:r>
          </w:p>
        </w:tc>
        <w:tc>
          <w:tcPr>
            <w:tcW w:type="dxa" w:w="1400"/>
            <w:shd w:fill="EAF1FA" w:color="auto" w:val="clear"/>
            <w:tcMar>
              <w:top w:type="dxa" w:w="80"/>
              <w:left w:type="dxa" w:w="120"/>
              <w:bottom w:type="dxa" w:w="80"/>
              <w:right w:type="dxa" w:w="120"/>
            </w:tcMar>
            <w:vAlign w:val="center"/>
          </w:tcPr>
          <w:p>
            <w:r>
              <w:rPr>
                <w:rFonts w:ascii="Calibri" w:cs="Calibri" w:eastAsia="Calibri" w:hAnsi="Calibri"/>
                <w:b w:val="false"/>
                <w:bCs w:val="false"/>
                <w:sz w:val="18"/>
                <w:szCs w:val="18"/>
              </w:rPr>
              <w:t xml:space="preserve">-0.137</w:t>
            </w:r>
          </w:p>
        </w:tc>
        <w:tc>
          <w:tcPr>
            <w:tcW w:type="dxa" w:w="5560"/>
            <w:shd w:fill="EAF1FA" w:color="auto" w:val="clear"/>
            <w:tcMar>
              <w:top w:type="dxa" w:w="80"/>
              <w:left w:type="dxa" w:w="120"/>
              <w:bottom w:type="dxa" w:w="80"/>
              <w:right w:type="dxa" w:w="120"/>
            </w:tcMar>
            <w:vAlign w:val="center"/>
          </w:tcPr>
          <w:p>
            <w:r>
              <w:rPr>
                <w:rFonts w:ascii="Calibri" w:cs="Calibri" w:eastAsia="Calibri" w:hAnsi="Calibri"/>
                <w:b w:val="false"/>
                <w:bCs w:val="false"/>
                <w:sz w:val="18"/>
                <w:szCs w:val="18"/>
              </w:rPr>
              <w:t xml:space="preserve">Employees with more equity/stock options are less likely to leave.</w:t>
            </w:r>
          </w:p>
        </w:tc>
      </w:tr>
    </w:tbl>
    <w:p>
      <w:pPr>
        <w:spacing w:after="140" w:line="300"/>
      </w:pPr>
      <w:r>
        <w:rPr>
          <w:rFonts w:ascii="Calibri" w:cs="Calibri" w:eastAsia="Calibri" w:hAnsi="Calibri"/>
          <w:sz w:val="21"/>
          <w:szCs w:val="21"/>
        </w:rPr>
        <w:t xml:space="preserve">No single factor dominates — attrition is driven by a combination of moderate-strength signals rather than one overwhelming cause, which is typical for voluntary turnover and means retention strategy needs to address multiple levers at once.</w:t>
      </w:r>
    </w:p>
    <w:p>
      <w:pPr>
        <w:pStyle w:val="Heading1"/>
        <w:pBdr>
          <w:bottom w:val="single" w:color="1F3864" w:sz="6" w:space="4"/>
        </w:pBdr>
        <w:spacing w:after="160" w:before="320"/>
      </w:pPr>
      <w:r>
        <w:rPr>
          <w:rFonts w:ascii="Calibri" w:cs="Calibri" w:eastAsia="Calibri" w:hAnsi="Calibri"/>
          <w:b/>
          <w:bCs/>
          <w:color w:val="1F3864"/>
          <w:sz w:val="30"/>
          <w:szCs w:val="30"/>
        </w:rPr>
        <w:t xml:space="preserve">9. Pairplot — Relationships Among Key Drivers</w:t>
      </w:r>
    </w:p>
    <w:p>
      <w:pPr>
        <w:spacing w:after="140" w:line="300"/>
      </w:pPr>
      <w:r>
        <w:rPr>
          <w:rFonts w:ascii="Calibri" w:cs="Calibri" w:eastAsia="Calibri" w:hAnsi="Calibri"/>
          <w:sz w:val="21"/>
          <w:szCs w:val="21"/>
        </w:rPr>
        <w:t xml:space="preserve">A pairplot was used (rather than shown for all 26 numeric variables, which would be unreadable) focused on the four numeric features most relevant to attrition: Age, Monthly Income, Total Working Years, and Years at Company.</w:t>
      </w:r>
    </w:p>
    <w:p>
      <w:pPr>
        <w:spacing w:after="40" w:before="120"/>
        <w:jc w:val="center"/>
      </w:pPr>
      <w:r>
        <w:drawing>
          <wp:inline distT="0" distB="0" distL="0" distR="0">
            <wp:extent cx="533400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5105400"/>
                    </a:xfrm>
                    <a:prstGeom prst="rect">
                      <a:avLst/>
                    </a:prstGeom>
                  </pic:spPr>
                </pic:pic>
              </a:graphicData>
            </a:graphic>
          </wp:inline>
        </w:drawing>
      </w:r>
    </w:p>
    <w:p>
      <w:pPr>
        <w:spacing w:after="200" w:before="80"/>
        <w:jc w:val="center"/>
      </w:pPr>
      <w:r>
        <w:rPr>
          <w:rFonts w:ascii="Calibri" w:cs="Calibri" w:eastAsia="Calibri" w:hAnsi="Calibri"/>
          <w:i/>
          <w:iCs/>
          <w:color w:val="595959"/>
          <w:sz w:val="18"/>
          <w:szCs w:val="18"/>
        </w:rPr>
        <w:t xml:space="preserve">Figure 6: Pairwise relationships between Age, Monthly Income, Total Working Years, and Years at Company, colored by Attrition.</w:t>
      </w:r>
    </w:p>
    <w:p>
      <w:pPr>
        <w:spacing w:after="140" w:line="300"/>
      </w:pPr>
      <w:r>
        <w:rPr>
          <w:rFonts w:ascii="Calibri" w:cs="Calibri" w:eastAsia="Calibri" w:hAnsi="Calibri"/>
          <w:sz w:val="21"/>
          <w:szCs w:val="21"/>
        </w:rPr>
        <w:t xml:space="preserve">Business interpretation: The diagonal density curves confirm that employees who left (red) skew younger, earn less, and have fewer working years than those who stayed (blue) — visually reinforcing the boxplot findings. The scatter panels show a clear positive relationship between Age, Total Working Years, and Monthly Income (older, more experienced employees earn more, as expected). Attrition cases (red points) cluster in the lower-left regions of these scatter plots — younger, lower-income, less-tenured employees — rather than being scattered randomly, which strengthens confidence that these factors are genuine, combinable attrition signals rather than coincidence.</w:t>
      </w:r>
    </w:p>
    <w:p>
      <w:pPr>
        <w:pStyle w:val="Heading1"/>
        <w:pBdr>
          <w:bottom w:val="single" w:color="1F3864" w:sz="6" w:space="4"/>
        </w:pBdr>
        <w:spacing w:after="160" w:before="320"/>
      </w:pPr>
      <w:r>
        <w:rPr>
          <w:rFonts w:ascii="Calibri" w:cs="Calibri" w:eastAsia="Calibri" w:hAnsi="Calibri"/>
          <w:b/>
          <w:bCs/>
          <w:color w:val="1F3864"/>
          <w:sz w:val="30"/>
          <w:szCs w:val="30"/>
        </w:rPr>
        <w:t xml:space="preserve">10. Key Takeaways</w:t>
      </w:r>
    </w:p>
    <w:p>
      <w:pPr>
        <w:pStyle w:val="ListParagraph"/>
        <w:numPr>
          <w:ilvl w:val="0"/>
          <w:numId w:val="1"/>
        </w:numPr>
        <w:spacing w:after="80" w:line="280"/>
      </w:pPr>
      <w:r>
        <w:rPr>
          <w:rFonts w:ascii="Calibri" w:cs="Calibri" w:eastAsia="Calibri" w:hAnsi="Calibri"/>
          <w:b w:val="false"/>
          <w:bCs w:val="false"/>
          <w:sz w:val="20"/>
          <w:szCs w:val="20"/>
        </w:rPr>
        <w:t xml:space="preserve">Overall attrition rate is 16.1% — the benchmark for evaluating any segment or policy change.</w:t>
      </w:r>
    </w:p>
    <w:p>
      <w:pPr>
        <w:pStyle w:val="ListParagraph"/>
        <w:numPr>
          <w:ilvl w:val="0"/>
          <w:numId w:val="1"/>
        </w:numPr>
        <w:spacing w:after="80" w:line="280"/>
      </w:pPr>
      <w:r>
        <w:rPr>
          <w:rFonts w:ascii="Calibri" w:cs="Calibri" w:eastAsia="Calibri" w:hAnsi="Calibri"/>
          <w:b w:val="false"/>
          <w:bCs w:val="false"/>
          <w:sz w:val="20"/>
          <w:szCs w:val="20"/>
        </w:rPr>
        <w:t xml:space="preserve">OverTime is the single strongest behavioral signal — overtime workers leave at a much higher rate.</w:t>
      </w:r>
    </w:p>
    <w:p>
      <w:pPr>
        <w:pStyle w:val="ListParagraph"/>
        <w:numPr>
          <w:ilvl w:val="0"/>
          <w:numId w:val="1"/>
        </w:numPr>
        <w:spacing w:after="80" w:line="280"/>
      </w:pPr>
      <w:r>
        <w:rPr>
          <w:rFonts w:ascii="Calibri" w:cs="Calibri" w:eastAsia="Calibri" w:hAnsi="Calibri"/>
          <w:b w:val="false"/>
          <w:bCs w:val="false"/>
          <w:sz w:val="20"/>
          <w:szCs w:val="20"/>
        </w:rPr>
        <w:t xml:space="preserve">Attrition concentrates in early-career, lower-income, shorter-tenure employees.</w:t>
      </w:r>
    </w:p>
    <w:p>
      <w:pPr>
        <w:pStyle w:val="ListParagraph"/>
        <w:numPr>
          <w:ilvl w:val="0"/>
          <w:numId w:val="1"/>
        </w:numPr>
        <w:spacing w:after="80" w:line="280"/>
      </w:pPr>
      <w:r>
        <w:rPr>
          <w:rFonts w:ascii="Calibri" w:cs="Calibri" w:eastAsia="Calibri" w:hAnsi="Calibri"/>
          <w:b w:val="false"/>
          <w:bCs w:val="false"/>
          <w:sz w:val="20"/>
          <w:szCs w:val="20"/>
        </w:rPr>
        <w:t xml:space="preserve">Sales roles and frequent travelers show elevated attrition relative to their size.</w:t>
      </w:r>
    </w:p>
    <w:p>
      <w:pPr>
        <w:pStyle w:val="ListParagraph"/>
        <w:numPr>
          <w:ilvl w:val="0"/>
          <w:numId w:val="1"/>
        </w:numPr>
        <w:spacing w:after="80" w:line="280"/>
      </w:pPr>
      <w:r>
        <w:rPr>
          <w:rFonts w:ascii="Calibri" w:cs="Calibri" w:eastAsia="Calibri" w:hAnsi="Calibri"/>
          <w:b w:val="false"/>
          <w:bCs w:val="false"/>
          <w:sz w:val="20"/>
          <w:szCs w:val="20"/>
        </w:rPr>
        <w:t xml:space="preserve">Single employees leave more than married or divorced employees.</w:t>
      </w:r>
    </w:p>
    <w:p>
      <w:pPr>
        <w:pStyle w:val="ListParagraph"/>
        <w:numPr>
          <w:ilvl w:val="0"/>
          <w:numId w:val="1"/>
        </w:numPr>
        <w:spacing w:after="80" w:line="280"/>
      </w:pPr>
      <w:r>
        <w:rPr>
          <w:rFonts w:ascii="Calibri" w:cs="Calibri" w:eastAsia="Calibri" w:hAnsi="Calibri"/>
          <w:b w:val="false"/>
          <w:bCs w:val="false"/>
          <w:sz w:val="20"/>
          <w:szCs w:val="20"/>
        </w:rPr>
        <w:t xml:space="preserve">No single variable explains attrition alone — it is a multi-factor pattern, so retention strategy should combine compensation review, workload/overtime management, and targeted support for early-career staff.</w:t>
      </w:r>
    </w:p>
    <w:p>
      <w:pPr>
        <w:pStyle w:val="Heading1"/>
        <w:pBdr>
          <w:bottom w:val="single" w:color="1F3864" w:sz="6" w:space="4"/>
        </w:pBdr>
        <w:spacing w:after="160" w:before="320"/>
      </w:pPr>
      <w:r>
        <w:rPr>
          <w:rFonts w:ascii="Calibri" w:cs="Calibri" w:eastAsia="Calibri" w:hAnsi="Calibri"/>
          <w:b/>
          <w:bCs/>
          <w:color w:val="1F3864"/>
          <w:sz w:val="30"/>
          <w:szCs w:val="30"/>
        </w:rPr>
        <w:t xml:space="preserve">11. Full Python EDA Code</w:t>
      </w:r>
    </w:p>
    <w:p>
      <w:pPr>
        <w:spacing w:after="140" w:line="300"/>
      </w:pPr>
      <w:r>
        <w:rPr>
          <w:rFonts w:ascii="Calibri" w:cs="Calibri" w:eastAsia="Calibri" w:hAnsi="Calibri"/>
          <w:sz w:val="21"/>
          <w:szCs w:val="21"/>
        </w:rPr>
        <w:t xml:space="preserve">The complete script used to generate every statistic and chart in this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4F4F4" w:color="auto" w:val="clear"/>
            <w:tcMar>
              <w:top w:type="dxa" w:w="140"/>
              <w:left w:type="dxa" w:w="160"/>
              <w:bottom w:type="dxa" w:w="140"/>
              <w:right w:type="dxa" w:w="160"/>
            </w:tcMar>
          </w:tcPr>
          <w:p>
            <w:pPr>
              <w:spacing w:after="20"/>
            </w:pPr>
            <w:r>
              <w:rPr>
                <w:rFonts w:ascii="Consolas" w:cs="Consolas" w:eastAsia="Consolas" w:hAnsi="Consolas"/>
                <w:color w:val="222222"/>
                <w:sz w:val="16"/>
                <w:szCs w:val="16"/>
              </w:rPr>
              <w:t xml:space="preserve">"""</w:t>
            </w:r>
          </w:p>
          <w:p>
            <w:pPr>
              <w:spacing w:after="20"/>
            </w:pPr>
            <w:r>
              <w:rPr>
                <w:rFonts w:ascii="Consolas" w:cs="Consolas" w:eastAsia="Consolas" w:hAnsi="Consolas"/>
                <w:color w:val="222222"/>
                <w:sz w:val="16"/>
                <w:szCs w:val="16"/>
              </w:rPr>
              <w:t xml:space="preserve">==============================================================</w:t>
            </w:r>
          </w:p>
          <w:p>
            <w:pPr>
              <w:spacing w:after="20"/>
            </w:pPr>
            <w:r>
              <w:rPr>
                <w:rFonts w:ascii="Consolas" w:cs="Consolas" w:eastAsia="Consolas" w:hAnsi="Consolas"/>
                <w:color w:val="222222"/>
                <w:sz w:val="16"/>
                <w:szCs w:val="16"/>
              </w:rPr>
              <w:t xml:space="preserve">EMPLOYEE ATTRITION DATASET — EXPLORATORY DATA ANALYSIS (EDA)</w:t>
            </w:r>
          </w:p>
          <w:p>
            <w:pPr>
              <w:spacing w:after="20"/>
            </w:pPr>
            <w:r>
              <w:rPr>
                <w:rFonts w:ascii="Consolas" w:cs="Consolas" w:eastAsia="Consolas" w:hAnsi="Consolas"/>
                <w:color w:val="222222"/>
                <w:sz w:val="16"/>
                <w:szCs w:val="16"/>
              </w:rPr>
              <w:t xml:space="preserve">==============================================================</w:t>
            </w:r>
          </w:p>
          <w:p>
            <w:pPr>
              <w:spacing w:after="20"/>
            </w:pPr>
            <w:r>
              <w:rPr>
                <w:rFonts w:ascii="Consolas" w:cs="Consolas" w:eastAsia="Consolas" w:hAnsi="Consolas"/>
                <w:color w:val="222222"/>
                <w:sz w:val="16"/>
                <w:szCs w:val="16"/>
              </w:rPr>
              <w:t xml:space="preserve">Covers: shape, info, summary stats, histograms, boxplots,</w:t>
            </w:r>
          </w:p>
          <w:p>
            <w:pPr>
              <w:spacing w:after="20"/>
            </w:pPr>
            <w:r>
              <w:rPr>
                <w:rFonts w:ascii="Consolas" w:cs="Consolas" w:eastAsia="Consolas" w:hAnsi="Consolas"/>
                <w:color w:val="222222"/>
                <w:sz w:val="16"/>
                <w:szCs w:val="16"/>
              </w:rPr>
              <w:t xml:space="preserve">countplots, pie charts, correlation heatmap, and pairplot.</w:t>
            </w:r>
          </w:p>
          <w:p>
            <w:pPr>
              <w:spacing w:after="20"/>
            </w:pPr>
            <w:r>
              <w:rPr>
                <w:rFonts w:ascii="Consolas" w:cs="Consolas" w:eastAsia="Consolas" w:hAnsi="Consolas"/>
                <w:color w:val="222222"/>
                <w:sz w:val="16"/>
                <w:szCs w:val="16"/>
              </w:rPr>
              <w:t xml:space="preserve">Every chart is saved as a PNG for the accompanying report.</w:t>
            </w:r>
          </w:p>
          <w:p>
            <w:pPr>
              <w:spacing w:after="20"/>
            </w:pPr>
            <w:r>
              <w:rPr>
                <w:rFonts w:ascii="Consolas" w:cs="Consolas" w:eastAsia="Consolas" w:hAnsi="Consolas"/>
                <w:color w:val="222222"/>
                <w:sz w:val="16"/>
                <w:szCs w:val="16"/>
              </w:rPr>
              <w:t xml:space="preserve">==============================================================</w:t>
            </w:r>
          </w:p>
          <w:p>
            <w:pPr>
              <w:spacing w:after="20"/>
            </w:pPr>
            <w:r>
              <w:rPr>
                <w:rFonts w:ascii="Consolas" w:cs="Consolas" w:eastAsia="Consolas" w:hAnsi="Consolas"/>
                <w:color w:val="222222"/>
                <w:sz w:val="16"/>
                <w:szCs w:val="16"/>
              </w:rPr>
              <w:t xml:space="preserve">"""</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import pandas as pd</w:t>
            </w:r>
          </w:p>
          <w:p>
            <w:pPr>
              <w:spacing w:after="20"/>
            </w:pPr>
            <w:r>
              <w:rPr>
                <w:rFonts w:ascii="Consolas" w:cs="Consolas" w:eastAsia="Consolas" w:hAnsi="Consolas"/>
                <w:color w:val="222222"/>
                <w:sz w:val="16"/>
                <w:szCs w:val="16"/>
              </w:rPr>
              <w:t xml:space="preserve">import numpy as np</w:t>
            </w:r>
          </w:p>
          <w:p>
            <w:pPr>
              <w:spacing w:after="20"/>
            </w:pPr>
            <w:r>
              <w:rPr>
                <w:rFonts w:ascii="Consolas" w:cs="Consolas" w:eastAsia="Consolas" w:hAnsi="Consolas"/>
                <w:color w:val="222222"/>
                <w:sz w:val="16"/>
                <w:szCs w:val="16"/>
              </w:rPr>
              <w:t xml:space="preserve">import matplotlib</w:t>
            </w:r>
          </w:p>
          <w:p>
            <w:pPr>
              <w:spacing w:after="20"/>
            </w:pPr>
            <w:r>
              <w:rPr>
                <w:rFonts w:ascii="Consolas" w:cs="Consolas" w:eastAsia="Consolas" w:hAnsi="Consolas"/>
                <w:color w:val="222222"/>
                <w:sz w:val="16"/>
                <w:szCs w:val="16"/>
              </w:rPr>
              <w:t xml:space="preserve">matplotlib.use("Agg")</w:t>
            </w:r>
          </w:p>
          <w:p>
            <w:pPr>
              <w:spacing w:after="20"/>
            </w:pPr>
            <w:r>
              <w:rPr>
                <w:rFonts w:ascii="Consolas" w:cs="Consolas" w:eastAsia="Consolas" w:hAnsi="Consolas"/>
                <w:color w:val="222222"/>
                <w:sz w:val="16"/>
                <w:szCs w:val="16"/>
              </w:rPr>
              <w:t xml:space="preserve">import matplotlib.pyplot as plt</w:t>
            </w:r>
          </w:p>
          <w:p>
            <w:pPr>
              <w:spacing w:after="20"/>
            </w:pPr>
            <w:r>
              <w:rPr>
                <w:rFonts w:ascii="Consolas" w:cs="Consolas" w:eastAsia="Consolas" w:hAnsi="Consolas"/>
                <w:color w:val="222222"/>
                <w:sz w:val="16"/>
                <w:szCs w:val="16"/>
              </w:rPr>
              <w:t xml:space="preserve">import seaborn as sns</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sns.set_style("whitegrid")</w:t>
            </w:r>
          </w:p>
          <w:p>
            <w:pPr>
              <w:spacing w:after="20"/>
            </w:pPr>
            <w:r>
              <w:rPr>
                <w:rFonts w:ascii="Consolas" w:cs="Consolas" w:eastAsia="Consolas" w:hAnsi="Consolas"/>
                <w:color w:val="222222"/>
                <w:sz w:val="16"/>
                <w:szCs w:val="16"/>
              </w:rPr>
              <w:t xml:space="preserve">NAVY, ACCENT, RED, GREEN = "#1F3864", "#2E75B6", "#C0392B", "#2E7D32"</w:t>
            </w:r>
          </w:p>
          <w:p>
            <w:pPr>
              <w:spacing w:after="20"/>
            </w:pPr>
            <w:r>
              <w:rPr>
                <w:rFonts w:ascii="Consolas" w:cs="Consolas" w:eastAsia="Consolas" w:hAnsi="Consolas"/>
                <w:color w:val="222222"/>
                <w:sz w:val="16"/>
                <w:szCs w:val="16"/>
              </w:rPr>
              <w:t xml:space="preserve">PALETTE = [ACCENT, RED]</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df = pd.read_csv("employee_attrition_cleaned.csv")</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 1. DATASET SHAPE</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print("=" * 60)</w:t>
            </w:r>
          </w:p>
          <w:p>
            <w:pPr>
              <w:spacing w:after="20"/>
            </w:pPr>
            <w:r>
              <w:rPr>
                <w:rFonts w:ascii="Consolas" w:cs="Consolas" w:eastAsia="Consolas" w:hAnsi="Consolas"/>
                <w:color w:val="222222"/>
                <w:sz w:val="16"/>
                <w:szCs w:val="16"/>
              </w:rPr>
              <w:t xml:space="preserve">print("1. DATASET SHAPE")</w:t>
            </w:r>
          </w:p>
          <w:p>
            <w:pPr>
              <w:spacing w:after="20"/>
            </w:pPr>
            <w:r>
              <w:rPr>
                <w:rFonts w:ascii="Consolas" w:cs="Consolas" w:eastAsia="Consolas" w:hAnsi="Consolas"/>
                <w:color w:val="222222"/>
                <w:sz w:val="16"/>
                <w:szCs w:val="16"/>
              </w:rPr>
              <w:t xml:space="preserve">print("=" * 60)</w:t>
            </w:r>
          </w:p>
          <w:p>
            <w:pPr>
              <w:spacing w:after="20"/>
            </w:pPr>
            <w:r>
              <w:rPr>
                <w:rFonts w:ascii="Consolas" w:cs="Consolas" w:eastAsia="Consolas" w:hAnsi="Consolas"/>
                <w:color w:val="222222"/>
                <w:sz w:val="16"/>
                <w:szCs w:val="16"/>
              </w:rPr>
              <w:t xml:space="preserve">print(f"Rows: {df.shape[0]}   Columns: {df.shape[1]}")</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 2. DATASET INFORMATION</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print("\n" + "=" * 60)</w:t>
            </w:r>
          </w:p>
          <w:p>
            <w:pPr>
              <w:spacing w:after="20"/>
            </w:pPr>
            <w:r>
              <w:rPr>
                <w:rFonts w:ascii="Consolas" w:cs="Consolas" w:eastAsia="Consolas" w:hAnsi="Consolas"/>
                <w:color w:val="222222"/>
                <w:sz w:val="16"/>
                <w:szCs w:val="16"/>
              </w:rPr>
              <w:t xml:space="preserve">print("2. DATASET INFO")</w:t>
            </w:r>
          </w:p>
          <w:p>
            <w:pPr>
              <w:spacing w:after="20"/>
            </w:pPr>
            <w:r>
              <w:rPr>
                <w:rFonts w:ascii="Consolas" w:cs="Consolas" w:eastAsia="Consolas" w:hAnsi="Consolas"/>
                <w:color w:val="222222"/>
                <w:sz w:val="16"/>
                <w:szCs w:val="16"/>
              </w:rPr>
              <w:t xml:space="preserve">print("=" * 60)</w:t>
            </w:r>
          </w:p>
          <w:p>
            <w:pPr>
              <w:spacing w:after="20"/>
            </w:pPr>
            <w:r>
              <w:rPr>
                <w:rFonts w:ascii="Consolas" w:cs="Consolas" w:eastAsia="Consolas" w:hAnsi="Consolas"/>
                <w:color w:val="222222"/>
                <w:sz w:val="16"/>
                <w:szCs w:val="16"/>
              </w:rPr>
              <w:t xml:space="preserve">df.info()</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 3. SUMMARY STATISTICS</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print("\n" + "=" * 60)</w:t>
            </w:r>
          </w:p>
          <w:p>
            <w:pPr>
              <w:spacing w:after="20"/>
            </w:pPr>
            <w:r>
              <w:rPr>
                <w:rFonts w:ascii="Consolas" w:cs="Consolas" w:eastAsia="Consolas" w:hAnsi="Consolas"/>
                <w:color w:val="222222"/>
                <w:sz w:val="16"/>
                <w:szCs w:val="16"/>
              </w:rPr>
              <w:t xml:space="preserve">print("3. SUMMARY STATISTICS (numeric)")</w:t>
            </w:r>
          </w:p>
          <w:p>
            <w:pPr>
              <w:spacing w:after="20"/>
            </w:pPr>
            <w:r>
              <w:rPr>
                <w:rFonts w:ascii="Consolas" w:cs="Consolas" w:eastAsia="Consolas" w:hAnsi="Consolas"/>
                <w:color w:val="222222"/>
                <w:sz w:val="16"/>
                <w:szCs w:val="16"/>
              </w:rPr>
              <w:t xml:space="preserve">print("=" * 60)</w:t>
            </w:r>
          </w:p>
          <w:p>
            <w:pPr>
              <w:spacing w:after="20"/>
            </w:pPr>
            <w:r>
              <w:rPr>
                <w:rFonts w:ascii="Consolas" w:cs="Consolas" w:eastAsia="Consolas" w:hAnsi="Consolas"/>
                <w:color w:val="222222"/>
                <w:sz w:val="16"/>
                <w:szCs w:val="16"/>
              </w:rPr>
              <w:t xml:space="preserve">numeric_summary = df.describe().T</w:t>
            </w:r>
          </w:p>
          <w:p>
            <w:pPr>
              <w:spacing w:after="20"/>
            </w:pPr>
            <w:r>
              <w:rPr>
                <w:rFonts w:ascii="Consolas" w:cs="Consolas" w:eastAsia="Consolas" w:hAnsi="Consolas"/>
                <w:color w:val="222222"/>
                <w:sz w:val="16"/>
                <w:szCs w:val="16"/>
              </w:rPr>
              <w:t xml:space="preserve">print(numeric_summary)</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print("\n3b. SUMMARY STATISTICS (categorical)")</w:t>
            </w:r>
          </w:p>
          <w:p>
            <w:pPr>
              <w:spacing w:after="20"/>
            </w:pPr>
            <w:r>
              <w:rPr>
                <w:rFonts w:ascii="Consolas" w:cs="Consolas" w:eastAsia="Consolas" w:hAnsi="Consolas"/>
                <w:color w:val="222222"/>
                <w:sz w:val="16"/>
                <w:szCs w:val="16"/>
              </w:rPr>
              <w:t xml:space="preserve">categorical_summary = df.describe(include="object").T</w:t>
            </w:r>
          </w:p>
          <w:p>
            <w:pPr>
              <w:spacing w:after="20"/>
            </w:pPr>
            <w:r>
              <w:rPr>
                <w:rFonts w:ascii="Consolas" w:cs="Consolas" w:eastAsia="Consolas" w:hAnsi="Consolas"/>
                <w:color w:val="222222"/>
                <w:sz w:val="16"/>
                <w:szCs w:val="16"/>
              </w:rPr>
              <w:t xml:space="preserve">print(categorical_summary)</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numeric_summary.to_csv("summary_numeric.csv")</w:t>
            </w:r>
          </w:p>
          <w:p>
            <w:pPr>
              <w:spacing w:after="20"/>
            </w:pPr>
            <w:r>
              <w:rPr>
                <w:rFonts w:ascii="Consolas" w:cs="Consolas" w:eastAsia="Consolas" w:hAnsi="Consolas"/>
                <w:color w:val="222222"/>
                <w:sz w:val="16"/>
                <w:szCs w:val="16"/>
              </w:rPr>
              <w:t xml:space="preserve">categorical_summary.to_csv("summary_categorical.csv")</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 4. HISTOGRAMS — distribution of key numeric variables</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hist_cols = ["Age", "MonthlyIncome", "DistanceFromHome", "TotalWorkingYears",</w:t>
            </w:r>
          </w:p>
          <w:p>
            <w:pPr>
              <w:spacing w:after="20"/>
            </w:pPr>
            <w:r>
              <w:rPr>
                <w:rFonts w:ascii="Consolas" w:cs="Consolas" w:eastAsia="Consolas" w:hAnsi="Consolas"/>
                <w:color w:val="222222"/>
                <w:sz w:val="16"/>
                <w:szCs w:val="16"/>
              </w:rPr>
              <w:t xml:space="preserve">             "YearsAtCompany", "NumCompaniesWorked"]</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fig, axes = plt.subplots(2, 3, figsize=(15, 8))</w:t>
            </w:r>
          </w:p>
          <w:p>
            <w:pPr>
              <w:spacing w:after="20"/>
            </w:pPr>
            <w:r>
              <w:rPr>
                <w:rFonts w:ascii="Consolas" w:cs="Consolas" w:eastAsia="Consolas" w:hAnsi="Consolas"/>
                <w:color w:val="222222"/>
                <w:sz w:val="16"/>
                <w:szCs w:val="16"/>
              </w:rPr>
              <w:t xml:space="preserve">for ax, col in zip(axes.flatten(), hist_cols):</w:t>
            </w:r>
          </w:p>
          <w:p>
            <w:pPr>
              <w:spacing w:after="20"/>
            </w:pPr>
            <w:r>
              <w:rPr>
                <w:rFonts w:ascii="Consolas" w:cs="Consolas" w:eastAsia="Consolas" w:hAnsi="Consolas"/>
                <w:color w:val="222222"/>
                <w:sz w:val="16"/>
                <w:szCs w:val="16"/>
              </w:rPr>
              <w:t xml:space="preserve">    sns.histplot(df[col], bins=25, kde=True, color=ACCENT, ax=ax)</w:t>
            </w:r>
          </w:p>
          <w:p>
            <w:pPr>
              <w:spacing w:after="20"/>
            </w:pPr>
            <w:r>
              <w:rPr>
                <w:rFonts w:ascii="Consolas" w:cs="Consolas" w:eastAsia="Consolas" w:hAnsi="Consolas"/>
                <w:color w:val="222222"/>
                <w:sz w:val="16"/>
                <w:szCs w:val="16"/>
              </w:rPr>
              <w:t xml:space="preserve">    ax.set_title(col, fontweight="bold", color=NAVY)</w:t>
            </w:r>
          </w:p>
          <w:p>
            <w:pPr>
              <w:spacing w:after="20"/>
            </w:pPr>
            <w:r>
              <w:rPr>
                <w:rFonts w:ascii="Consolas" w:cs="Consolas" w:eastAsia="Consolas" w:hAnsi="Consolas"/>
                <w:color w:val="222222"/>
                <w:sz w:val="16"/>
                <w:szCs w:val="16"/>
              </w:rPr>
              <w:t xml:space="preserve">plt.tight_layout()</w:t>
            </w:r>
          </w:p>
          <w:p>
            <w:pPr>
              <w:spacing w:after="20"/>
            </w:pPr>
            <w:r>
              <w:rPr>
                <w:rFonts w:ascii="Consolas" w:cs="Consolas" w:eastAsia="Consolas" w:hAnsi="Consolas"/>
                <w:color w:val="222222"/>
                <w:sz w:val="16"/>
                <w:szCs w:val="16"/>
              </w:rPr>
              <w:t xml:space="preserve">plt.savefig("eda_histograms.png", dpi=150, bbox_inches="tight")</w:t>
            </w:r>
          </w:p>
          <w:p>
            <w:pPr>
              <w:spacing w:after="20"/>
            </w:pPr>
            <w:r>
              <w:rPr>
                <w:rFonts w:ascii="Consolas" w:cs="Consolas" w:eastAsia="Consolas" w:hAnsi="Consolas"/>
                <w:color w:val="222222"/>
                <w:sz w:val="16"/>
                <w:szCs w:val="16"/>
              </w:rPr>
              <w:t xml:space="preserve">plt.close()</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 5. BOXPLOTS — numeric variable vs. Attrition</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box_cols = ["MonthlyIncome", "Age", "TotalWorkingYears", "YearsAtCompany",</w:t>
            </w:r>
          </w:p>
          <w:p>
            <w:pPr>
              <w:spacing w:after="20"/>
            </w:pPr>
            <w:r>
              <w:rPr>
                <w:rFonts w:ascii="Consolas" w:cs="Consolas" w:eastAsia="Consolas" w:hAnsi="Consolas"/>
                <w:color w:val="222222"/>
                <w:sz w:val="16"/>
                <w:szCs w:val="16"/>
              </w:rPr>
              <w:t xml:space="preserve">            "DistanceFromHome", "NumCompaniesWorked"]</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fig, axes = plt.subplots(2, 3, figsize=(15, 8))</w:t>
            </w:r>
          </w:p>
          <w:p>
            <w:pPr>
              <w:spacing w:after="20"/>
            </w:pPr>
            <w:r>
              <w:rPr>
                <w:rFonts w:ascii="Consolas" w:cs="Consolas" w:eastAsia="Consolas" w:hAnsi="Consolas"/>
                <w:color w:val="222222"/>
                <w:sz w:val="16"/>
                <w:szCs w:val="16"/>
              </w:rPr>
              <w:t xml:space="preserve">for ax, col in zip(axes.flatten(), box_cols):</w:t>
            </w:r>
          </w:p>
          <w:p>
            <w:pPr>
              <w:spacing w:after="20"/>
            </w:pPr>
            <w:r>
              <w:rPr>
                <w:rFonts w:ascii="Consolas" w:cs="Consolas" w:eastAsia="Consolas" w:hAnsi="Consolas"/>
                <w:color w:val="222222"/>
                <w:sz w:val="16"/>
                <w:szCs w:val="16"/>
              </w:rPr>
              <w:t xml:space="preserve">    sns.boxplot(data=df, x="Attrition", y=col, hue="Attrition",</w:t>
            </w:r>
          </w:p>
          <w:p>
            <w:pPr>
              <w:spacing w:after="20"/>
            </w:pPr>
            <w:r>
              <w:rPr>
                <w:rFonts w:ascii="Consolas" w:cs="Consolas" w:eastAsia="Consolas" w:hAnsi="Consolas"/>
                <w:color w:val="222222"/>
                <w:sz w:val="16"/>
                <w:szCs w:val="16"/>
              </w:rPr>
              <w:t xml:space="preserve">                palette=PALETTE, legend=False, ax=ax)</w:t>
            </w:r>
          </w:p>
          <w:p>
            <w:pPr>
              <w:spacing w:after="20"/>
            </w:pPr>
            <w:r>
              <w:rPr>
                <w:rFonts w:ascii="Consolas" w:cs="Consolas" w:eastAsia="Consolas" w:hAnsi="Consolas"/>
                <w:color w:val="222222"/>
                <w:sz w:val="16"/>
                <w:szCs w:val="16"/>
              </w:rPr>
              <w:t xml:space="preserve">    ax.set_title(f"{col} by Attrition", fontweight="bold", color=NAVY)</w:t>
            </w:r>
          </w:p>
          <w:p>
            <w:pPr>
              <w:spacing w:after="20"/>
            </w:pPr>
            <w:r>
              <w:rPr>
                <w:rFonts w:ascii="Consolas" w:cs="Consolas" w:eastAsia="Consolas" w:hAnsi="Consolas"/>
                <w:color w:val="222222"/>
                <w:sz w:val="16"/>
                <w:szCs w:val="16"/>
              </w:rPr>
              <w:t xml:space="preserve">plt.tight_layout()</w:t>
            </w:r>
          </w:p>
          <w:p>
            <w:pPr>
              <w:spacing w:after="20"/>
            </w:pPr>
            <w:r>
              <w:rPr>
                <w:rFonts w:ascii="Consolas" w:cs="Consolas" w:eastAsia="Consolas" w:hAnsi="Consolas"/>
                <w:color w:val="222222"/>
                <w:sz w:val="16"/>
                <w:szCs w:val="16"/>
              </w:rPr>
              <w:t xml:space="preserve">plt.savefig("eda_boxplots.png", dpi=150, bbox_inches="tight")</w:t>
            </w:r>
          </w:p>
          <w:p>
            <w:pPr>
              <w:spacing w:after="20"/>
            </w:pPr>
            <w:r>
              <w:rPr>
                <w:rFonts w:ascii="Consolas" w:cs="Consolas" w:eastAsia="Consolas" w:hAnsi="Consolas"/>
                <w:color w:val="222222"/>
                <w:sz w:val="16"/>
                <w:szCs w:val="16"/>
              </w:rPr>
              <w:t xml:space="preserve">plt.close()</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 6. COUNTPLOTS — categorical variable vs. Attrition</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count_cols = ["Department", "OverTime", "JobRole", "MaritalStatus",</w:t>
            </w:r>
          </w:p>
          <w:p>
            <w:pPr>
              <w:spacing w:after="20"/>
            </w:pPr>
            <w:r>
              <w:rPr>
                <w:rFonts w:ascii="Consolas" w:cs="Consolas" w:eastAsia="Consolas" w:hAnsi="Consolas"/>
                <w:color w:val="222222"/>
                <w:sz w:val="16"/>
                <w:szCs w:val="16"/>
              </w:rPr>
              <w:t xml:space="preserve">              "BusinessTravel", "Gender"]</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fig, axes = plt.subplots(2, 3, figsize=(16, 10))</w:t>
            </w:r>
          </w:p>
          <w:p>
            <w:pPr>
              <w:spacing w:after="20"/>
            </w:pPr>
            <w:r>
              <w:rPr>
                <w:rFonts w:ascii="Consolas" w:cs="Consolas" w:eastAsia="Consolas" w:hAnsi="Consolas"/>
                <w:color w:val="222222"/>
                <w:sz w:val="16"/>
                <w:szCs w:val="16"/>
              </w:rPr>
              <w:t xml:space="preserve">for ax, col in zip(axes.flatten(), count_cols):</w:t>
            </w:r>
          </w:p>
          <w:p>
            <w:pPr>
              <w:spacing w:after="20"/>
            </w:pPr>
            <w:r>
              <w:rPr>
                <w:rFonts w:ascii="Consolas" w:cs="Consolas" w:eastAsia="Consolas" w:hAnsi="Consolas"/>
                <w:color w:val="222222"/>
                <w:sz w:val="16"/>
                <w:szCs w:val="16"/>
              </w:rPr>
              <w:t xml:space="preserve">    order = df[col].value_counts().index</w:t>
            </w:r>
          </w:p>
          <w:p>
            <w:pPr>
              <w:spacing w:after="20"/>
            </w:pPr>
            <w:r>
              <w:rPr>
                <w:rFonts w:ascii="Consolas" w:cs="Consolas" w:eastAsia="Consolas" w:hAnsi="Consolas"/>
                <w:color w:val="222222"/>
                <w:sz w:val="16"/>
                <w:szCs w:val="16"/>
              </w:rPr>
              <w:t xml:space="preserve">    sns.countplot(data=df, x=col, hue="Attrition", palette=PALETTE,</w:t>
            </w:r>
          </w:p>
          <w:p>
            <w:pPr>
              <w:spacing w:after="20"/>
            </w:pPr>
            <w:r>
              <w:rPr>
                <w:rFonts w:ascii="Consolas" w:cs="Consolas" w:eastAsia="Consolas" w:hAnsi="Consolas"/>
                <w:color w:val="222222"/>
                <w:sz w:val="16"/>
                <w:szCs w:val="16"/>
              </w:rPr>
              <w:t xml:space="preserve">                  order=order, ax=ax)</w:t>
            </w:r>
          </w:p>
          <w:p>
            <w:pPr>
              <w:spacing w:after="20"/>
            </w:pPr>
            <w:r>
              <w:rPr>
                <w:rFonts w:ascii="Consolas" w:cs="Consolas" w:eastAsia="Consolas" w:hAnsi="Consolas"/>
                <w:color w:val="222222"/>
                <w:sz w:val="16"/>
                <w:szCs w:val="16"/>
              </w:rPr>
              <w:t xml:space="preserve">    ax.set_title(f"Attrition by {col}", fontweight="bold", color=NAVY)</w:t>
            </w:r>
          </w:p>
          <w:p>
            <w:pPr>
              <w:spacing w:after="20"/>
            </w:pPr>
            <w:r>
              <w:rPr>
                <w:rFonts w:ascii="Consolas" w:cs="Consolas" w:eastAsia="Consolas" w:hAnsi="Consolas"/>
                <w:color w:val="222222"/>
                <w:sz w:val="16"/>
                <w:szCs w:val="16"/>
              </w:rPr>
              <w:t xml:space="preserve">    ax.tick_params(axis="x", rotation=35)</w:t>
            </w:r>
          </w:p>
          <w:p>
            <w:pPr>
              <w:spacing w:after="20"/>
            </w:pPr>
            <w:r>
              <w:rPr>
                <w:rFonts w:ascii="Consolas" w:cs="Consolas" w:eastAsia="Consolas" w:hAnsi="Consolas"/>
                <w:color w:val="222222"/>
                <w:sz w:val="16"/>
                <w:szCs w:val="16"/>
              </w:rPr>
              <w:t xml:space="preserve">plt.tight_layout()</w:t>
            </w:r>
          </w:p>
          <w:p>
            <w:pPr>
              <w:spacing w:after="20"/>
            </w:pPr>
            <w:r>
              <w:rPr>
                <w:rFonts w:ascii="Consolas" w:cs="Consolas" w:eastAsia="Consolas" w:hAnsi="Consolas"/>
                <w:color w:val="222222"/>
                <w:sz w:val="16"/>
                <w:szCs w:val="16"/>
              </w:rPr>
              <w:t xml:space="preserve">plt.savefig("eda_countplots.png", dpi=150, bbox_inches="tight")</w:t>
            </w:r>
          </w:p>
          <w:p>
            <w:pPr>
              <w:spacing w:after="20"/>
            </w:pPr>
            <w:r>
              <w:rPr>
                <w:rFonts w:ascii="Consolas" w:cs="Consolas" w:eastAsia="Consolas" w:hAnsi="Consolas"/>
                <w:color w:val="222222"/>
                <w:sz w:val="16"/>
                <w:szCs w:val="16"/>
              </w:rPr>
              <w:t xml:space="preserve">plt.close()</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 7. PIE CHARTS — overall composition (appropriate for</w:t>
            </w:r>
          </w:p>
          <w:p>
            <w:pPr>
              <w:spacing w:after="20"/>
            </w:pPr>
            <w:r>
              <w:rPr>
                <w:rFonts w:ascii="Consolas" w:cs="Consolas" w:eastAsia="Consolas" w:hAnsi="Consolas"/>
                <w:color w:val="222222"/>
                <w:sz w:val="16"/>
                <w:szCs w:val="16"/>
              </w:rPr>
              <w:t xml:space="preserve">#    low-cardinality categorical splits)</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pie_cols = ["Attrition", "Department", "Gender", "MaritalStatus"]</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fig, axes = plt.subplots(1, 4, figsize=(18, 4.5))</w:t>
            </w:r>
          </w:p>
          <w:p>
            <w:pPr>
              <w:spacing w:after="20"/>
            </w:pPr>
            <w:r>
              <w:rPr>
                <w:rFonts w:ascii="Consolas" w:cs="Consolas" w:eastAsia="Consolas" w:hAnsi="Consolas"/>
                <w:color w:val="222222"/>
                <w:sz w:val="16"/>
                <w:szCs w:val="16"/>
              </w:rPr>
              <w:t xml:space="preserve">colors_list = [[ACCENT, RED], [ACCENT, "#7FA8D9", NAVY],</w:t>
            </w:r>
          </w:p>
          <w:p>
            <w:pPr>
              <w:spacing w:after="20"/>
            </w:pPr>
            <w:r>
              <w:rPr>
                <w:rFonts w:ascii="Consolas" w:cs="Consolas" w:eastAsia="Consolas" w:hAnsi="Consolas"/>
                <w:color w:val="222222"/>
                <w:sz w:val="16"/>
                <w:szCs w:val="16"/>
              </w:rPr>
              <w:t xml:space="preserve">               [ACCENT, RED], [ACCENT, "#7FA8D9", NAVY]]</w:t>
            </w:r>
          </w:p>
          <w:p>
            <w:pPr>
              <w:spacing w:after="20"/>
            </w:pPr>
            <w:r>
              <w:rPr>
                <w:rFonts w:ascii="Consolas" w:cs="Consolas" w:eastAsia="Consolas" w:hAnsi="Consolas"/>
                <w:color w:val="222222"/>
                <w:sz w:val="16"/>
                <w:szCs w:val="16"/>
              </w:rPr>
              <w:t xml:space="preserve">for ax, col, colors in zip(axes, pie_cols, colors_list):</w:t>
            </w:r>
          </w:p>
          <w:p>
            <w:pPr>
              <w:spacing w:after="20"/>
            </w:pPr>
            <w:r>
              <w:rPr>
                <w:rFonts w:ascii="Consolas" w:cs="Consolas" w:eastAsia="Consolas" w:hAnsi="Consolas"/>
                <w:color w:val="222222"/>
                <w:sz w:val="16"/>
                <w:szCs w:val="16"/>
              </w:rPr>
              <w:t xml:space="preserve">    counts = df[col].value_counts()</w:t>
            </w:r>
          </w:p>
          <w:p>
            <w:pPr>
              <w:spacing w:after="20"/>
            </w:pPr>
            <w:r>
              <w:rPr>
                <w:rFonts w:ascii="Consolas" w:cs="Consolas" w:eastAsia="Consolas" w:hAnsi="Consolas"/>
                <w:color w:val="222222"/>
                <w:sz w:val="16"/>
                <w:szCs w:val="16"/>
              </w:rPr>
              <w:t xml:space="preserve">    ax.pie(counts, labels=counts.index, autopct="%1.1f%%",</w:t>
            </w:r>
          </w:p>
          <w:p>
            <w:pPr>
              <w:spacing w:after="20"/>
            </w:pPr>
            <w:r>
              <w:rPr>
                <w:rFonts w:ascii="Consolas" w:cs="Consolas" w:eastAsia="Consolas" w:hAnsi="Consolas"/>
                <w:color w:val="222222"/>
                <w:sz w:val="16"/>
                <w:szCs w:val="16"/>
              </w:rPr>
              <w:t xml:space="preserve">           colors=colors, startangle=90,</w:t>
            </w:r>
          </w:p>
          <w:p>
            <w:pPr>
              <w:spacing w:after="20"/>
            </w:pPr>
            <w:r>
              <w:rPr>
                <w:rFonts w:ascii="Consolas" w:cs="Consolas" w:eastAsia="Consolas" w:hAnsi="Consolas"/>
                <w:color w:val="222222"/>
                <w:sz w:val="16"/>
                <w:szCs w:val="16"/>
              </w:rPr>
              <w:t xml:space="preserve">           wedgeprops={"edgecolor": "white", "linewidth": 1})</w:t>
            </w:r>
          </w:p>
          <w:p>
            <w:pPr>
              <w:spacing w:after="20"/>
            </w:pPr>
            <w:r>
              <w:rPr>
                <w:rFonts w:ascii="Consolas" w:cs="Consolas" w:eastAsia="Consolas" w:hAnsi="Consolas"/>
                <w:color w:val="222222"/>
                <w:sz w:val="16"/>
                <w:szCs w:val="16"/>
              </w:rPr>
              <w:t xml:space="preserve">    ax.set_title(col, fontweight="bold", color=NAVY)</w:t>
            </w:r>
          </w:p>
          <w:p>
            <w:pPr>
              <w:spacing w:after="20"/>
            </w:pPr>
            <w:r>
              <w:rPr>
                <w:rFonts w:ascii="Consolas" w:cs="Consolas" w:eastAsia="Consolas" w:hAnsi="Consolas"/>
                <w:color w:val="222222"/>
                <w:sz w:val="16"/>
                <w:szCs w:val="16"/>
              </w:rPr>
              <w:t xml:space="preserve">plt.tight_layout()</w:t>
            </w:r>
          </w:p>
          <w:p>
            <w:pPr>
              <w:spacing w:after="20"/>
            </w:pPr>
            <w:r>
              <w:rPr>
                <w:rFonts w:ascii="Consolas" w:cs="Consolas" w:eastAsia="Consolas" w:hAnsi="Consolas"/>
                <w:color w:val="222222"/>
                <w:sz w:val="16"/>
                <w:szCs w:val="16"/>
              </w:rPr>
              <w:t xml:space="preserve">plt.savefig("eda_piecharts.png", dpi=150, bbox_inches="tight")</w:t>
            </w:r>
          </w:p>
          <w:p>
            <w:pPr>
              <w:spacing w:after="20"/>
            </w:pPr>
            <w:r>
              <w:rPr>
                <w:rFonts w:ascii="Consolas" w:cs="Consolas" w:eastAsia="Consolas" w:hAnsi="Consolas"/>
                <w:color w:val="222222"/>
                <w:sz w:val="16"/>
                <w:szCs w:val="16"/>
              </w:rPr>
              <w:t xml:space="preserve">plt.close()</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 8. CORRELATION HEATMAP — numeric feature relationships</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numeric_df = df.select_dtypes(include=np.number).drop(</w:t>
            </w:r>
          </w:p>
          <w:p>
            <w:pPr>
              <w:spacing w:after="20"/>
            </w:pPr>
            <w:r>
              <w:rPr>
                <w:rFonts w:ascii="Consolas" w:cs="Consolas" w:eastAsia="Consolas" w:hAnsi="Consolas"/>
                <w:color w:val="222222"/>
                <w:sz w:val="16"/>
                <w:szCs w:val="16"/>
              </w:rPr>
              <w:t xml:space="preserve">    columns=[c for c in df.columns if c.endswith("_Outlier")] + ["EmployeeNumber"],</w:t>
            </w:r>
          </w:p>
          <w:p>
            <w:pPr>
              <w:spacing w:after="20"/>
            </w:pPr>
            <w:r>
              <w:rPr>
                <w:rFonts w:ascii="Consolas" w:cs="Consolas" w:eastAsia="Consolas" w:hAnsi="Consolas"/>
                <w:color w:val="222222"/>
                <w:sz w:val="16"/>
                <w:szCs w:val="16"/>
              </w:rPr>
              <w:t xml:space="preserve">    errors="ignore"</w:t>
            </w:r>
          </w:p>
          <w:p>
            <w:pPr>
              <w:spacing w:after="20"/>
            </w:pPr>
            <w:r>
              <w:rPr>
                <w:rFonts w:ascii="Consolas" w:cs="Consolas" w:eastAsia="Consolas" w:hAnsi="Consolas"/>
                <w:color w:val="222222"/>
                <w:sz w:val="16"/>
                <w:szCs w:val="16"/>
              </w:rPr>
              <w:t xml:space="preserve">)</w:t>
            </w:r>
          </w:p>
          <w:p>
            <w:pPr>
              <w:spacing w:after="20"/>
            </w:pPr>
            <w:r>
              <w:rPr>
                <w:rFonts w:ascii="Consolas" w:cs="Consolas" w:eastAsia="Consolas" w:hAnsi="Consolas"/>
                <w:color w:val="222222"/>
                <w:sz w:val="16"/>
                <w:szCs w:val="16"/>
              </w:rPr>
              <w:t xml:space="preserve">corr = numeric_df.corr()</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plt.figure(figsize=(14, 11))</w:t>
            </w:r>
          </w:p>
          <w:p>
            <w:pPr>
              <w:spacing w:after="20"/>
            </w:pPr>
            <w:r>
              <w:rPr>
                <w:rFonts w:ascii="Consolas" w:cs="Consolas" w:eastAsia="Consolas" w:hAnsi="Consolas"/>
                <w:color w:val="222222"/>
                <w:sz w:val="16"/>
                <w:szCs w:val="16"/>
              </w:rPr>
              <w:t xml:space="preserve">sns.heatmap(corr, cmap="RdBu_r", center=0, annot=False, linewidths=0.4,</w:t>
            </w:r>
          </w:p>
          <w:p>
            <w:pPr>
              <w:spacing w:after="20"/>
            </w:pPr>
            <w:r>
              <w:rPr>
                <w:rFonts w:ascii="Consolas" w:cs="Consolas" w:eastAsia="Consolas" w:hAnsi="Consolas"/>
                <w:color w:val="222222"/>
                <w:sz w:val="16"/>
                <w:szCs w:val="16"/>
              </w:rPr>
              <w:t xml:space="preserve">            cbar_kws={"shrink": 0.8})</w:t>
            </w:r>
          </w:p>
          <w:p>
            <w:pPr>
              <w:spacing w:after="20"/>
            </w:pPr>
            <w:r>
              <w:rPr>
                <w:rFonts w:ascii="Consolas" w:cs="Consolas" w:eastAsia="Consolas" w:hAnsi="Consolas"/>
                <w:color w:val="222222"/>
                <w:sz w:val="16"/>
                <w:szCs w:val="16"/>
              </w:rPr>
              <w:t xml:space="preserve">plt.title("Correlation Heatmap — Numeric Features", fontweight="bold",</w:t>
            </w:r>
          </w:p>
          <w:p>
            <w:pPr>
              <w:spacing w:after="20"/>
            </w:pPr>
            <w:r>
              <w:rPr>
                <w:rFonts w:ascii="Consolas" w:cs="Consolas" w:eastAsia="Consolas" w:hAnsi="Consolas"/>
                <w:color w:val="222222"/>
                <w:sz w:val="16"/>
                <w:szCs w:val="16"/>
              </w:rPr>
              <w:t xml:space="preserve">          color=NAVY, fontsize=14)</w:t>
            </w:r>
          </w:p>
          <w:p>
            <w:pPr>
              <w:spacing w:after="20"/>
            </w:pPr>
            <w:r>
              <w:rPr>
                <w:rFonts w:ascii="Consolas" w:cs="Consolas" w:eastAsia="Consolas" w:hAnsi="Consolas"/>
                <w:color w:val="222222"/>
                <w:sz w:val="16"/>
                <w:szCs w:val="16"/>
              </w:rPr>
              <w:t xml:space="preserve">plt.tight_layout()</w:t>
            </w:r>
          </w:p>
          <w:p>
            <w:pPr>
              <w:spacing w:after="20"/>
            </w:pPr>
            <w:r>
              <w:rPr>
                <w:rFonts w:ascii="Consolas" w:cs="Consolas" w:eastAsia="Consolas" w:hAnsi="Consolas"/>
                <w:color w:val="222222"/>
                <w:sz w:val="16"/>
                <w:szCs w:val="16"/>
              </w:rPr>
              <w:t xml:space="preserve">plt.savefig("eda_heatmap.png", dpi=150, bbox_inches="tight")</w:t>
            </w:r>
          </w:p>
          <w:p>
            <w:pPr>
              <w:spacing w:after="20"/>
            </w:pPr>
            <w:r>
              <w:rPr>
                <w:rFonts w:ascii="Consolas" w:cs="Consolas" w:eastAsia="Consolas" w:hAnsi="Consolas"/>
                <w:color w:val="222222"/>
                <w:sz w:val="16"/>
                <w:szCs w:val="16"/>
              </w:rPr>
              <w:t xml:space="preserve">plt.close()</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 Print top correlations with Attrition_Flag for the report</w:t>
            </w:r>
          </w:p>
          <w:p>
            <w:pPr>
              <w:spacing w:after="20"/>
            </w:pPr>
            <w:r>
              <w:rPr>
                <w:rFonts w:ascii="Consolas" w:cs="Consolas" w:eastAsia="Consolas" w:hAnsi="Consolas"/>
                <w:color w:val="222222"/>
                <w:sz w:val="16"/>
                <w:szCs w:val="16"/>
              </w:rPr>
              <w:t xml:space="preserve">attr_corr = corr["Attrition_Flag"].drop("Attrition_Flag").sort_values(key=abs, ascending=False)</w:t>
            </w:r>
          </w:p>
          <w:p>
            <w:pPr>
              <w:spacing w:after="20"/>
            </w:pPr>
            <w:r>
              <w:rPr>
                <w:rFonts w:ascii="Consolas" w:cs="Consolas" w:eastAsia="Consolas" w:hAnsi="Consolas"/>
                <w:color w:val="222222"/>
                <w:sz w:val="16"/>
                <w:szCs w:val="16"/>
              </w:rPr>
              <w:t xml:space="preserve">print("\nTop correlations with Attrition_Flag:")</w:t>
            </w:r>
          </w:p>
          <w:p>
            <w:pPr>
              <w:spacing w:after="20"/>
            </w:pPr>
            <w:r>
              <w:rPr>
                <w:rFonts w:ascii="Consolas" w:cs="Consolas" w:eastAsia="Consolas" w:hAnsi="Consolas"/>
                <w:color w:val="222222"/>
                <w:sz w:val="16"/>
                <w:szCs w:val="16"/>
              </w:rPr>
              <w:t xml:space="preserve">print(attr_corr.head(10))</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 9. PAIRPLOT — relationships among the strongest attrition drivers</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pair_cols = ["Age", "MonthlyIncome", "TotalWorkingYears", "YearsAtCompany", "Attrition"]</w:t>
            </w:r>
          </w:p>
          <w:p>
            <w:pPr>
              <w:spacing w:after="20"/>
            </w:pPr>
            <w:r>
              <w:rPr>
                <w:rFonts w:ascii="Consolas" w:cs="Consolas" w:eastAsia="Consolas" w:hAnsi="Consolas"/>
                <w:color w:val="222222"/>
                <w:sz w:val="16"/>
                <w:szCs w:val="16"/>
              </w:rPr>
              <w:t xml:space="preserve">pp = sns.pairplot(df[pair_cols], hue="Attrition", palette=PALETTE,</w:t>
            </w:r>
          </w:p>
          <w:p>
            <w:pPr>
              <w:spacing w:after="20"/>
            </w:pPr>
            <w:r>
              <w:rPr>
                <w:rFonts w:ascii="Consolas" w:cs="Consolas" w:eastAsia="Consolas" w:hAnsi="Consolas"/>
                <w:color w:val="222222"/>
                <w:sz w:val="16"/>
                <w:szCs w:val="16"/>
              </w:rPr>
              <w:t xml:space="preserve">                   diag_kind="kde", plot_kws={"alpha": 0.5, "s": 20})</w:t>
            </w:r>
          </w:p>
          <w:p>
            <w:pPr>
              <w:spacing w:after="20"/>
            </w:pPr>
            <w:r>
              <w:rPr>
                <w:rFonts w:ascii="Consolas" w:cs="Consolas" w:eastAsia="Consolas" w:hAnsi="Consolas"/>
                <w:color w:val="222222"/>
                <w:sz w:val="16"/>
                <w:szCs w:val="16"/>
              </w:rPr>
              <w:t xml:space="preserve">pp.fig.suptitle("Pairplot — Key Numeric Drivers vs. Attrition", y=1.02,</w:t>
            </w:r>
          </w:p>
          <w:p>
            <w:pPr>
              <w:spacing w:after="20"/>
            </w:pPr>
            <w:r>
              <w:rPr>
                <w:rFonts w:ascii="Consolas" w:cs="Consolas" w:eastAsia="Consolas" w:hAnsi="Consolas"/>
                <w:color w:val="222222"/>
                <w:sz w:val="16"/>
                <w:szCs w:val="16"/>
              </w:rPr>
              <w:t xml:space="preserve">                 fontweight="bold", color=NAVY)</w:t>
            </w:r>
          </w:p>
          <w:p>
            <w:pPr>
              <w:spacing w:after="20"/>
            </w:pPr>
            <w:r>
              <w:rPr>
                <w:rFonts w:ascii="Consolas" w:cs="Consolas" w:eastAsia="Consolas" w:hAnsi="Consolas"/>
                <w:color w:val="222222"/>
                <w:sz w:val="16"/>
                <w:szCs w:val="16"/>
              </w:rPr>
              <w:t xml:space="preserve">pp.savefig("eda_pairplot.png", dpi=150, bbox_inches="tight")</w:t>
            </w:r>
          </w:p>
          <w:p>
            <w:pPr>
              <w:spacing w:after="20"/>
            </w:pPr>
            <w:r>
              <w:rPr>
                <w:rFonts w:ascii="Consolas" w:cs="Consolas" w:eastAsia="Consolas" w:hAnsi="Consolas"/>
                <w:color w:val="222222"/>
                <w:sz w:val="16"/>
                <w:szCs w:val="16"/>
              </w:rPr>
              <w:t xml:space="preserve">plt.close()</w:t>
            </w:r>
          </w:p>
          <w:p>
            <w:pPr>
              <w:spacing w:after="20"/>
            </w:pPr>
            <w:r>
              <w:rPr>
                <w:rFonts w:ascii="Consolas" w:cs="Consolas" w:eastAsia="Consolas" w:hAnsi="Consolas"/>
                <w:color w:val="222222"/>
                <w:sz w:val="16"/>
                <w:szCs w:val="16"/>
              </w:rPr>
              <w:t xml:space="preserve"> </w:t>
            </w:r>
          </w:p>
          <w:p>
            <w:pPr>
              <w:spacing w:after="20"/>
            </w:pPr>
            <w:r>
              <w:rPr>
                <w:rFonts w:ascii="Consolas" w:cs="Consolas" w:eastAsia="Consolas" w:hAnsi="Consolas"/>
                <w:color w:val="222222"/>
                <w:sz w:val="16"/>
                <w:szCs w:val="16"/>
              </w:rPr>
              <w:t xml:space="preserve">print("\nAll EDA charts saved as PNG files.")</w:t>
            </w:r>
          </w:p>
          <w:p>
            <w:pPr>
              <w:spacing w:after="20"/>
            </w:pPr>
            <w:r>
              <w:rPr>
                <w:rFonts w:ascii="Consolas" w:cs="Consolas" w:eastAsia="Consolas" w:hAnsi="Consolas"/>
                <w:color w:val="222222"/>
                <w:sz w:val="16"/>
                <w:szCs w:val="16"/>
              </w:rPr>
              <w:t xml:space="preserve">print("EDA complete.")</w:t>
            </w:r>
          </w:p>
          <w:p>
            <w:pPr>
              <w:spacing w:after="20"/>
            </w:pPr>
            <w:r>
              <w:rPr>
                <w:rFonts w:ascii="Consolas" w:cs="Consolas" w:eastAsia="Consolas" w:hAnsi="Consolas"/>
                <w:color w:val="222222"/>
                <w:sz w:val="16"/>
                <w:szCs w:val="16"/>
              </w:rPr>
              <w:t xml:space="preserve"> </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Employee Attrition Analysis — EDA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0218d62a43b4bd6fda76ada26c4e8d52060513.png"/><Relationship Id="rId10" Type="http://schemas.openxmlformats.org/officeDocument/2006/relationships/image" Target="media/d6a7dd43109d613159b91c8e3d5c0541e6afee80.png"/><Relationship Id="rId11" Type="http://schemas.openxmlformats.org/officeDocument/2006/relationships/image" Target="media/3deb7cb2d4b4cedf0ea8d44103f2c78d4a9aeef2.png"/><Relationship Id="rId12" Type="http://schemas.openxmlformats.org/officeDocument/2006/relationships/image" Target="media/14a233901261515acf5bf375a05f5d4042b3f5aa.png"/><Relationship Id="rId13" Type="http://schemas.openxmlformats.org/officeDocument/2006/relationships/image" Target="media/657a1c5cf5415a060850e62dceb36e005cd88f19.png"/><Relationship Id="rId14" Type="http://schemas.openxmlformats.org/officeDocument/2006/relationships/image" Target="media/74a69cd5d996b094c4795a007d2815be9544eeb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2026-07-04T06:58:07.562Z</dcterms:created>
  <dcterms:modified xsi:type="dcterms:W3CDTF">2026-07-04T06:58:07.562Z</dcterms:modified>
</cp:coreProperties>
</file>

<file path=docProps/custom.xml><?xml version="1.0" encoding="utf-8"?>
<Properties xmlns="http://schemas.openxmlformats.org/officeDocument/2006/custom-properties" xmlns:vt="http://schemas.openxmlformats.org/officeDocument/2006/docPropsVTypes"/>
</file>