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A1628" w:val="clear"/>
            <w:tcMar>
              <w:top w:type="dxa" w:w="600"/>
              <w:left w:type="dxa" w:w="520"/>
              <w:bottom w:type="dxa" w:w="600"/>
              <w:right w:type="dxa" w:w="520"/>
            </w:tcMar>
          </w:tcPr>
          <w:p>
            <w:pPr>
              <w:spacing w:after="60"/>
            </w:pPr>
            <w:r>
              <w:rPr>
                <w:rFonts w:ascii="Arial" w:cs="Arial" w:eastAsia="Arial" w:hAnsi="Arial"/>
                <w:b/>
                <w:bCs/>
                <w:caps/>
                <w:color w:val="7BA3D4"/>
                <w:sz w:val="20"/>
                <w:szCs w:val="20"/>
              </w:rPr>
              <w:t xml:space="preserve">GRC DASHBOARD</w:t>
            </w:r>
          </w:p>
          <w:p>
            <w:pPr>
              <w:spacing w:after="80"/>
            </w:pPr>
            <w:r>
              <w:rPr>
                <w:rFonts w:ascii="Arial" w:cs="Arial" w:eastAsia="Arial" w:hAnsi="Arial"/>
                <w:b/>
                <w:bCs/>
                <w:color w:val="FFFFFF"/>
                <w:sz w:val="54"/>
                <w:szCs w:val="54"/>
              </w:rPr>
              <w:t xml:space="preserve">Legal Operations Module</w:t>
            </w:r>
          </w:p>
          <w:p>
            <w:pPr>
              <w:spacing w:after="80"/>
            </w:pPr>
            <w:r>
              <w:rPr>
                <w:rFonts w:ascii="Arial" w:cs="Arial" w:eastAsia="Arial" w:hAnsi="Arial"/>
                <w:b/>
                <w:bCs/>
                <w:color w:val="A8C8E8"/>
                <w:sz w:val="28"/>
                <w:szCs w:val="28"/>
              </w:rPr>
              <w:t xml:space="preserve">POA · IP Portfolio · Licences · Litigation</w:t>
            </w:r>
          </w:p>
          <w:p>
            <w:pPr>
              <w:spacing w:after="300"/>
            </w:pPr>
            <w:r>
              <w:rPr>
                <w:rFonts w:ascii="Arial" w:cs="Arial" w:eastAsia="Arial" w:hAnsi="Arial"/>
                <w:i/>
                <w:iCs/>
                <w:color w:val="7BA3D4"/>
                <w:sz w:val="19"/>
                <w:szCs w:val="19"/>
              </w:rPr>
              <w:t xml:space="preserve">Data Ingestion Architecture · Intelligent Automation · Role-Based Views · Phased Delivery Roadmap</w:t>
            </w:r>
          </w:p>
          <w:p>
            <w:pPr>
              <w:pBdr>
                <w:bottom w:val="single" w:color="1A4DB5" w:sz="2" w:space="1"/>
              </w:pBdr>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r>
              <w:rPr>
                <w:rFonts w:ascii="Arial" w:cs="Arial" w:eastAsia="Arial" w:hAnsi="Arial"/>
                <w:color w:val="7BA3D4"/>
                <w:sz w:val="18"/>
                <w:szCs w:val="18"/>
              </w:rPr>
              <w:t xml:space="preserve">Version 1.0   </w:t>
            </w:r>
            <w:r>
              <w:rPr>
                <w:rFonts w:ascii="Arial" w:cs="Arial" w:eastAsia="Arial" w:hAnsi="Arial"/>
                <w:color w:val="1A4DB5"/>
                <w:sz w:val="18"/>
                <w:szCs w:val="18"/>
              </w:rPr>
              <w:t xml:space="preserve"> | </w:t>
            </w:r>
            <w:r>
              <w:rPr>
                <w:rFonts w:ascii="Arial" w:cs="Arial" w:eastAsia="Arial" w:hAnsi="Arial"/>
                <w:color w:val="7BA3D4"/>
                <w:sz w:val="18"/>
                <w:szCs w:val="18"/>
              </w:rPr>
              <w:t xml:space="preserve">  March 2025   </w:t>
            </w:r>
            <w:r>
              <w:rPr>
                <w:rFonts w:ascii="Arial" w:cs="Arial" w:eastAsia="Arial" w:hAnsi="Arial"/>
                <w:color w:val="1A4DB5"/>
                <w:sz w:val="18"/>
                <w:szCs w:val="18"/>
              </w:rPr>
              <w:t xml:space="preserve"> | </w:t>
            </w:r>
            <w:r>
              <w:rPr>
                <w:rFonts w:ascii="Arial" w:cs="Arial" w:eastAsia="Arial" w:hAnsi="Arial"/>
                <w:color w:val="7BA3D4"/>
                <w:sz w:val="18"/>
                <w:szCs w:val="18"/>
              </w:rPr>
              <w:t xml:space="preserve">  Product &amp; Engineering  </w:t>
            </w:r>
            <w:r>
              <w:rPr>
                <w:rFonts w:ascii="Arial" w:cs="Arial" w:eastAsia="Arial" w:hAnsi="Arial"/>
                <w:color w:val="1A4DB5"/>
                <w:sz w:val="18"/>
                <w:szCs w:val="18"/>
              </w:rPr>
              <w:t xml:space="preserve"> | </w:t>
            </w:r>
            <w:r>
              <w:rPr>
                <w:rFonts w:ascii="Arial" w:cs="Arial" w:eastAsia="Arial" w:hAnsi="Arial"/>
                <w:color w:val="7BA3D4"/>
                <w:sz w:val="18"/>
                <w:szCs w:val="18"/>
              </w:rPr>
              <w:t xml:space="preserve">  Internal Use Only</w:t>
            </w:r>
          </w:p>
        </w:tc>
      </w:tr>
    </w:tbl>
    <w:p>
      <w:pPr>
        <w:spacing w:after="2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A1628" w:val="clear"/>
            <w:tcMar>
              <w:top w:type="dxa" w:w="80"/>
              <w:left w:type="dxa" w:w="130"/>
              <w:bottom w:type="dxa" w:w="80"/>
              <w:right w:type="dxa" w:w="130"/>
            </w:tcMar>
            <w:vAlign w:val="top"/>
          </w:tcPr>
          <w:p>
            <w:pPr>
              <w:jc w:val="center"/>
            </w:pPr>
            <w:r>
              <w:rPr>
                <w:rFonts w:ascii="Arial" w:cs="Arial" w:eastAsia="Arial" w:hAnsi="Arial"/>
                <w:b/>
                <w:bCs/>
                <w:color w:val="FFFFFF"/>
                <w:sz w:val="22"/>
                <w:szCs w:val="22"/>
              </w:rPr>
              <w:t xml:space="preserve">01</w:t>
            </w:r>
          </w:p>
        </w:tc>
        <w:tc>
          <w:tcPr>
            <w:tcW w:type="dxa" w:w="8460"/>
            <w:tcBorders>
              <w:top w:val="none" w:color="FFFFFF" w:sz="0"/>
              <w:left w:val="none" w:color="FFFFFF" w:sz="0"/>
              <w:bottom w:val="none" w:color="FFFFFF" w:sz="0"/>
              <w:right w:val="none" w:color="FFFFFF" w:sz="0"/>
            </w:tcBorders>
            <w:shd w:fill="1A4DB5" w:val="clear"/>
            <w:tcMar>
              <w:top w:type="dxa" w:w="80"/>
              <w:left w:type="dxa" w:w="130"/>
              <w:bottom w:type="dxa" w:w="80"/>
              <w:right w:type="dxa" w:w="130"/>
            </w:tcMar>
            <w:vAlign w:val="top"/>
          </w:tcPr>
          <w:p>
            <w:r>
              <w:rPr>
                <w:rFonts w:ascii="Arial" w:cs="Arial" w:eastAsia="Arial" w:hAnsi="Arial"/>
                <w:b/>
                <w:bCs/>
                <w:color w:val="FFFFFF"/>
                <w:sz w:val="22"/>
                <w:szCs w:val="22"/>
              </w:rPr>
              <w:t xml:space="preserve">Purpose &amp; Strategic Context</w:t>
            </w:r>
          </w:p>
        </w:tc>
      </w:tr>
    </w:tbl>
    <w:p>
      <w:pPr>
        <w:spacing w:after="80"/>
      </w:pPr>
      <w:r>
        <w:rPr>
          <w:rFonts w:ascii="Arial" w:cs="Arial" w:eastAsia="Arial" w:hAnsi="Arial"/>
          <w:sz w:val="20"/>
          <w:szCs w:val="20"/>
        </w:rPr>
        <w:t xml:space="preserve"/>
      </w:r>
    </w:p>
    <w:p>
      <w:pPr>
        <w:spacing w:after="110"/>
      </w:pPr>
      <w:r>
        <w:rPr>
          <w:rFonts w:ascii="Arial" w:cs="Arial" w:eastAsia="Arial" w:hAnsi="Arial"/>
          <w:color w:val="1E293B"/>
          <w:sz w:val="20"/>
          <w:szCs w:val="20"/>
        </w:rPr>
        <w:t xml:space="preserve">This specification defines how four critical legal asset domains — Power of Attorney (POA), Intellectual Property (IP), Operational Licences, and Litigation — are ingested into the GRC Dashboard, how the platform becomes intelligent and autonomous once data is present, and how the right information surfaces to the right viewer without manual intervention.</w:t>
      </w:r>
    </w:p>
    <w:p>
      <w:pPr>
        <w:spacing w:after="110"/>
      </w:pPr>
      <w:r>
        <w:rPr>
          <w:rFonts w:ascii="Arial" w:cs="Arial" w:eastAsia="Arial" w:hAnsi="Arial"/>
          <w:color w:val="1E293B"/>
          <w:sz w:val="20"/>
          <w:szCs w:val="20"/>
        </w:rPr>
        <w:t xml:space="preserve">These four domains currently exist across scattered Excel files, email threads, physical binders, and the institutional knowledge of individuals. The purpose of this module is to consolidate that data into a single, continuously monitored, audit-ready system that works for the legal PA uploading a document, the Head of Compliance reviewing the portfolio, the COO managing operational risk, and the CFO assessing financial exposure — all from a single unified interface.</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40"/>
              <w:left w:type="dxa" w:w="220"/>
              <w:bottom w:type="dxa" w:w="140"/>
              <w:right w:type="dxa" w:w="220"/>
            </w:tcMar>
          </w:tcPr>
          <w:p>
            <w:pPr>
              <w:spacing w:after="60"/>
            </w:pPr>
            <w:r>
              <w:rPr>
                <w:rFonts w:ascii="Arial" w:cs="Arial" w:eastAsia="Arial" w:hAnsi="Arial"/>
                <w:b/>
                <w:bCs/>
                <w:color w:val="1A4DB5"/>
                <w:sz w:val="19"/>
                <w:szCs w:val="19"/>
              </w:rPr>
              <w:t xml:space="preserve">The fundamental design shift</w:t>
            </w:r>
          </w:p>
          <w:p>
            <w:r>
              <w:rPr>
                <w:rFonts w:ascii="Arial" w:cs="Arial" w:eastAsia="Arial" w:hAnsi="Arial"/>
                <w:color w:val="1E293B"/>
                <w:sz w:val="18"/>
                <w:szCs w:val="18"/>
              </w:rPr>
              <w:t xml:space="preserve">The platform does not ask organisations to change how they work to use it. It meets them where they are. Whether data arrives as a structured Excel export, a scanned PDF, an unformatted document, or a manually entered form — the platform ingests it, interprets it, identifies what is missing, and begins monitoring from that point forward. The intelligence layer activates the moment data enters.</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560"/>
        <w:gridCol w:w="1000"/>
      </w:tblGrid>
      <w:tr>
        <w:trPr>
          <w:tblHeader/>
        </w:trPr>
        <w:tc>
          <w:tcPr>
            <w:tcW w:type="dxa" w:w="20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Domain</w:t>
            </w:r>
          </w:p>
        </w:tc>
        <w:tc>
          <w:tcPr>
            <w:tcW w:type="dxa" w:w="2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Current State (Problem)</w:t>
            </w:r>
          </w:p>
        </w:tc>
        <w:tc>
          <w:tcPr>
            <w:tcW w:type="dxa" w:w="356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Platform Outcome (Solution)</w:t>
            </w:r>
          </w:p>
        </w:tc>
        <w:tc>
          <w:tcPr>
            <w:tcW w:type="dxa" w:w="10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Phase</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POA</w:t>
            </w:r>
          </w:p>
        </w:tc>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Excel trackers + PRO email chains + no expiry monitoring</w:t>
            </w:r>
          </w:p>
        </w:tc>
        <w:tc>
          <w:tcPr>
            <w:tcW w:type="dxa" w:w="356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Live register, attestation tracking, 90/60/30-day alerts, auto-revocation workflow</w:t>
            </w:r>
          </w:p>
        </w:tc>
        <w:tc>
          <w:tcPr>
            <w:tcW w:type="dxa" w:w="1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1</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IP Portfolio</w:t>
            </w:r>
          </w:p>
        </w:tc>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Per-jurisdiction Excel files + agent-managed renewals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Unified multi-jurisdiction portfolio, renewal calendar, opposition monitoring, gap analysis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2</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Licences</w:t>
            </w:r>
          </w:p>
        </w:tc>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Institutional knowledge + individual licence folders + no dependency view</w:t>
            </w:r>
          </w:p>
        </w:tc>
        <w:tc>
          <w:tcPr>
            <w:tcW w:type="dxa" w:w="356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Complete licence inventory, cascade dependency logic (Phase 2), renewal sequencing</w:t>
            </w:r>
          </w:p>
        </w:tc>
        <w:tc>
          <w:tcPr>
            <w:tcW w:type="dxa" w:w="1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2</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Litigation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Case-by-case folders + manual exposure tracking + quarterly board updates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Cross-jurisdiction case register, real-time exposure, counsel management, hearing calendar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3</w:t>
            </w:r>
          </w:p>
        </w:tc>
      </w:tr>
    </w:tbl>
    <w:p>
      <w:pPr>
        <w:spacing w:after="200"/>
      </w:pPr>
      <w:r>
        <w:rPr>
          <w:rFonts w:ascii="Arial" w:cs="Arial" w:eastAsia="Arial" w:hAnsi="Arial"/>
          <w:sz w:val="20"/>
          <w:szCs w:val="20"/>
        </w:rPr>
        <w:t xml:space="preserve"/>
      </w:r>
    </w:p>
    <w:p>
      <w:pPr>
        <w:pBdr>
          <w:bottom w:val="single" w:color="E2E8F0" w:sz="4" w:space="1"/>
        </w:pBd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A1628" w:val="clear"/>
            <w:tcMar>
              <w:top w:type="dxa" w:w="80"/>
              <w:left w:type="dxa" w:w="130"/>
              <w:bottom w:type="dxa" w:w="80"/>
              <w:right w:type="dxa" w:w="130"/>
            </w:tcMar>
            <w:vAlign w:val="top"/>
          </w:tcPr>
          <w:p>
            <w:pPr>
              <w:jc w:val="center"/>
            </w:pPr>
            <w:r>
              <w:rPr>
                <w:rFonts w:ascii="Arial" w:cs="Arial" w:eastAsia="Arial" w:hAnsi="Arial"/>
                <w:b/>
                <w:bCs/>
                <w:color w:val="FFFFFF"/>
                <w:sz w:val="22"/>
                <w:szCs w:val="22"/>
              </w:rPr>
              <w:t xml:space="preserve">02</w:t>
            </w:r>
          </w:p>
        </w:tc>
        <w:tc>
          <w:tcPr>
            <w:tcW w:type="dxa" w:w="8460"/>
            <w:tcBorders>
              <w:top w:val="none" w:color="FFFFFF" w:sz="0"/>
              <w:left w:val="none" w:color="FFFFFF" w:sz="0"/>
              <w:bottom w:val="none" w:color="FFFFFF" w:sz="0"/>
              <w:right w:val="none" w:color="FFFFFF" w:sz="0"/>
            </w:tcBorders>
            <w:shd w:fill="1A4DB5" w:val="clear"/>
            <w:tcMar>
              <w:top w:type="dxa" w:w="80"/>
              <w:left w:type="dxa" w:w="130"/>
              <w:bottom w:type="dxa" w:w="80"/>
              <w:right w:type="dxa" w:w="130"/>
            </w:tcMar>
            <w:vAlign w:val="top"/>
          </w:tcPr>
          <w:p>
            <w:r>
              <w:rPr>
                <w:rFonts w:ascii="Arial" w:cs="Arial" w:eastAsia="Arial" w:hAnsi="Arial"/>
                <w:b/>
                <w:bCs/>
                <w:color w:val="FFFFFF"/>
                <w:sz w:val="22"/>
                <w:szCs w:val="22"/>
              </w:rPr>
              <w:t xml:space="preserve">Unified Ingestion Interface — Design Principles</w:t>
            </w:r>
          </w:p>
        </w:tc>
      </w:tr>
    </w:tbl>
    <w:p>
      <w:pPr>
        <w:spacing w:after="80"/>
      </w:pPr>
      <w:r>
        <w:rPr>
          <w:rFonts w:ascii="Arial" w:cs="Arial" w:eastAsia="Arial" w:hAnsi="Arial"/>
          <w:sz w:val="20"/>
          <w:szCs w:val="20"/>
        </w:rPr>
        <w:t xml:space="preserve"/>
      </w:r>
    </w:p>
    <w:p>
      <w:pPr>
        <w:spacing w:after="110"/>
      </w:pPr>
      <w:r>
        <w:rPr>
          <w:rFonts w:ascii="Arial" w:cs="Arial" w:eastAsia="Arial" w:hAnsi="Arial"/>
          <w:color w:val="1E293B"/>
          <w:sz w:val="20"/>
          <w:szCs w:val="20"/>
        </w:rPr>
        <w:t xml:space="preserve">All four domains share a single ingestion interface. There is no separate "admin portal" or "data import tool" — ingestion is part of the same unified view that teams use every day. The interface is designed to be self-explanatory for users who have never seen the platform before, and to accommodate data arriving in any format without requiring the user to reformat their source files first.</w:t>
      </w:r>
    </w:p>
    <w:p>
      <w:pPr>
        <w:spacing w:after="60"/>
      </w:pPr>
      <w:r>
        <w:rPr>
          <w:rFonts w:ascii="Arial" w:cs="Arial" w:eastAsia="Arial" w:hAnsi="Arial"/>
          <w:sz w:val="20"/>
          <w:szCs w:val="20"/>
        </w:rPr>
        <w:t xml:space="preserve"/>
      </w:r>
    </w:p>
    <w:p>
      <w:pPr>
        <w:pStyle w:val="Heading2"/>
        <w:spacing w:before="260" w:after="120"/>
      </w:pPr>
      <w:r>
        <w:rPr>
          <w:rFonts w:ascii="Arial" w:cs="Arial" w:eastAsia="Arial" w:hAnsi="Arial"/>
          <w:b/>
          <w:bCs/>
          <w:color w:val="1A4DB5"/>
          <w:sz w:val="28"/>
          <w:szCs w:val="28"/>
        </w:rPr>
        <w:t xml:space="preserve">Three Ingestion Routes — Running Simultaneously</w:t>
      </w:r>
    </w:p>
    <w:p>
      <w:pPr>
        <w:spacing w:after="110"/>
      </w:pPr>
      <w:r>
        <w:rPr>
          <w:rFonts w:ascii="Arial" w:cs="Arial" w:eastAsia="Arial" w:hAnsi="Arial"/>
          <w:color w:val="1E293B"/>
          <w:sz w:val="20"/>
          <w:szCs w:val="20"/>
        </w:rPr>
        <w:t xml:space="preserve">Every domain supports all three routes at all times. A legal PA can upload a scanned POA while their colleague imports a structured Excel register while a compliance officer manually enters a new IP trademark filing. All three routes write to the same data store and trigger the same downstream intelligence.</w:t>
      </w:r>
    </w:p>
    <w:p>
      <w:pPr>
        <w:spacing w:after="8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2600"/>
        <w:gridCol w:w="2600"/>
        <w:gridCol w:w="2240"/>
      </w:tblGrid>
      <w:tr>
        <w:trPr>
          <w:tblHeader/>
        </w:trPr>
        <w:tc>
          <w:tcPr>
            <w:tcW w:type="dxa" w:w="48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w:t>
            </w:r>
          </w:p>
        </w:tc>
        <w:tc>
          <w:tcPr>
            <w:tcW w:type="dxa" w:w="1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Route</w:t>
            </w:r>
          </w:p>
        </w:tc>
        <w:tc>
          <w:tcPr>
            <w:tcW w:type="dxa" w:w="26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Best For</w:t>
            </w:r>
          </w:p>
        </w:tc>
        <w:tc>
          <w:tcPr>
            <w:tcW w:type="dxa" w:w="26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What the Platform Does</w:t>
            </w:r>
          </w:p>
        </w:tc>
        <w:tc>
          <w:tcPr>
            <w:tcW w:type="dxa" w:w="224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Confidence Level</w:t>
            </w:r>
          </w:p>
        </w:tc>
      </w:tr>
      <w:tr>
        <w:tc>
          <w:tcPr>
            <w:tcW w:type="dxa" w:w="480"/>
            <w:tcBorders>
              <w:top w:val="single" w:color="E2E8F0" w:sz="1"/>
              <w:left w:val="single" w:color="E2E8F0" w:sz="1"/>
              <w:bottom w:val="single" w:color="E2E8F0" w:sz="1"/>
              <w:right w:val="single" w:color="E2E8F0" w:sz="1"/>
            </w:tcBorders>
            <w:shd w:fill="1A4DB5" w:val="clear"/>
            <w:tcMar>
              <w:top w:type="dxa" w:w="80"/>
              <w:left w:type="dxa" w:w="130"/>
              <w:bottom w:type="dxa" w:w="80"/>
              <w:right w:type="dxa" w:w="130"/>
            </w:tcMar>
            <w:vAlign w:val="top"/>
          </w:tcPr>
          <w:p>
            <w:pPr>
              <w:spacing w:after="100"/>
            </w:pPr>
            <w:r>
              <w:rPr>
                <w:rFonts w:ascii="Arial" w:cs="Arial" w:eastAsia="Arial" w:hAnsi="Arial"/>
                <w:b/>
                <w:bCs/>
                <w:color w:val="FFFFFF"/>
                <w:sz w:val="18"/>
                <w:szCs w:val="18"/>
              </w:rPr>
              <w:t xml:space="preserve">R1</w:t>
            </w:r>
          </w:p>
        </w:tc>
        <w:tc>
          <w:tcPr>
            <w:tcW w:type="dxa" w:w="1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Structured Import
(Excel / CSV)</w:t>
            </w:r>
          </w:p>
        </w:tc>
        <w:tc>
          <w:tcPr>
            <w:tcW w:type="dxa" w:w="2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Well-maintained spreadsheets with consistent columns. Organisations migrating from existing trackers.</w:t>
            </w:r>
          </w:p>
        </w:tc>
        <w:tc>
          <w:tcPr>
            <w:tcW w:type="dxa" w:w="260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AI reads the file, proposes column-to-field mapping, user confirms, platform commits. Unmappable rows flagged for review.</w:t>
            </w:r>
          </w:p>
        </w:tc>
        <w:tc>
          <w:tcPr>
            <w:tcW w:type="dxa" w:w="224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High — data is explicit; AI validates mapping only</w:t>
            </w:r>
          </w:p>
        </w:tc>
      </w:tr>
      <w:tr>
        <w:tc>
          <w:tcPr>
            <w:tcW w:type="dxa" w:w="480"/>
            <w:tcBorders>
              <w:top w:val="single" w:color="E2E8F0" w:sz="1"/>
              <w:left w:val="single" w:color="E2E8F0" w:sz="1"/>
              <w:bottom w:val="single" w:color="E2E8F0" w:sz="1"/>
              <w:right w:val="single" w:color="E2E8F0" w:sz="1"/>
            </w:tcBorders>
            <w:shd w:fill="0D7377" w:val="clear"/>
            <w:tcMar>
              <w:top w:type="dxa" w:w="80"/>
              <w:left w:type="dxa" w:w="130"/>
              <w:bottom w:type="dxa" w:w="80"/>
              <w:right w:type="dxa" w:w="130"/>
            </w:tcMar>
            <w:vAlign w:val="top"/>
          </w:tcPr>
          <w:p>
            <w:pPr>
              <w:spacing w:after="100"/>
            </w:pPr>
            <w:r>
              <w:rPr>
                <w:rFonts w:ascii="Arial" w:cs="Arial" w:eastAsia="Arial" w:hAnsi="Arial"/>
                <w:b/>
                <w:bCs/>
                <w:color w:val="FFFFFF"/>
                <w:sz w:val="18"/>
                <w:szCs w:val="18"/>
              </w:rPr>
              <w:t xml:space="preserve">R2</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Document Upload
(PDF / Image / Scan)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Scanned documents, PDFs, ad-hoc files. No template required.</w:t>
            </w:r>
          </w:p>
        </w:tc>
        <w:tc>
          <w:tcPr>
            <w:tcW w:type="dxa" w:w="260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AI extracts structured fields via Vision API. Each field returned with confidence %. Low-confidence fields flagged for manual confirmation.</w:t>
            </w:r>
          </w:p>
        </w:tc>
        <w:tc>
          <w:tcPr>
            <w:tcW w:type="dxa" w:w="22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Variable — 80–95% for standard GCC documents. User confirms all &lt;80% fields before commit.</w:t>
            </w:r>
          </w:p>
        </w:tc>
      </w:tr>
      <w:tr>
        <w:tc>
          <w:tcPr>
            <w:tcW w:type="dxa" w:w="480"/>
            <w:tcBorders>
              <w:top w:val="single" w:color="E2E8F0" w:sz="1"/>
              <w:left w:val="single" w:color="E2E8F0" w:sz="1"/>
              <w:bottom w:val="single" w:color="E2E8F0" w:sz="1"/>
              <w:right w:val="single" w:color="E2E8F0" w:sz="1"/>
            </w:tcBorders>
            <w:shd w:fill="6D28D9" w:val="clear"/>
            <w:tcMar>
              <w:top w:type="dxa" w:w="80"/>
              <w:left w:type="dxa" w:w="130"/>
              <w:bottom w:type="dxa" w:w="80"/>
              <w:right w:type="dxa" w:w="130"/>
            </w:tcMar>
            <w:vAlign w:val="top"/>
          </w:tcPr>
          <w:p>
            <w:pPr>
              <w:spacing w:after="100"/>
            </w:pPr>
            <w:r>
              <w:rPr>
                <w:rFonts w:ascii="Arial" w:cs="Arial" w:eastAsia="Arial" w:hAnsi="Arial"/>
                <w:b/>
                <w:bCs/>
                <w:color w:val="FFFFFF"/>
                <w:sz w:val="18"/>
                <w:szCs w:val="18"/>
              </w:rPr>
              <w:t xml:space="preserve">R3</w:t>
            </w:r>
          </w:p>
        </w:tc>
        <w:tc>
          <w:tcPr>
            <w:tcW w:type="dxa" w:w="1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Manual Entry
(Guided Form)</w:t>
            </w:r>
          </w:p>
        </w:tc>
        <w:tc>
          <w:tcPr>
            <w:tcW w:type="dxa" w:w="2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New records with no source document. Supplementing extraction gaps. Data only known by the responsible officer.</w:t>
            </w:r>
          </w:p>
        </w:tc>
        <w:tc>
          <w:tcPr>
            <w:tcW w:type="dxa" w:w="260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Smart form with GCC-specific lookups, auto-population from existing OpCo data, inline validation. Mandatory fields enforced.</w:t>
            </w:r>
          </w:p>
        </w:tc>
        <w:tc>
          <w:tcPr>
            <w:tcW w:type="dxa" w:w="224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High — user-verified at point of entry</w:t>
            </w:r>
          </w:p>
        </w:tc>
      </w:tr>
    </w:tbl>
    <w:p>
      <w:pPr>
        <w:spacing w:after="120"/>
      </w:pPr>
      <w:r>
        <w:rPr>
          <w:rFonts w:ascii="Arial" w:cs="Arial" w:eastAsia="Arial" w:hAnsi="Arial"/>
          <w:sz w:val="20"/>
          <w:szCs w:val="20"/>
        </w:rPr>
        <w:t xml:space="preserve"/>
      </w:r>
    </w:p>
    <w:p>
      <w:pPr>
        <w:pStyle w:val="Heading2"/>
        <w:spacing w:before="260" w:after="120"/>
      </w:pPr>
      <w:r>
        <w:rPr>
          <w:rFonts w:ascii="Arial" w:cs="Arial" w:eastAsia="Arial" w:hAnsi="Arial"/>
          <w:b/>
          <w:bCs/>
          <w:color w:val="1A4DB5"/>
          <w:sz w:val="28"/>
          <w:szCs w:val="28"/>
        </w:rPr>
        <w:t xml:space="preserve">Route R1 — Structured Import Deep Dive (Well-Defined Files)</w:t>
      </w:r>
    </w:p>
    <w:p>
      <w:pPr>
        <w:spacing w:after="110"/>
      </w:pPr>
      <w:r>
        <w:rPr>
          <w:rFonts w:ascii="Arial" w:cs="Arial" w:eastAsia="Arial" w:hAnsi="Arial"/>
          <w:color w:val="1E293B"/>
          <w:sz w:val="20"/>
          <w:szCs w:val="20"/>
        </w:rPr>
        <w:t xml:space="preserve">When an organisation uploads a structured Excel or CSV file — for example, their existing POA tracker or IP renewal calendar — the platform does not require them to reformat it first. The AI column mapper reads the headers in their file and proposes a mapping to the platform's data model.</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200"/>
        <w:gridCol w:w="2400"/>
        <w:gridCol w:w="2760"/>
        <w:gridCol w:w="2460"/>
      </w:tblGrid>
      <w:tr>
        <w:trPr>
          <w:tblHeader/>
        </w:trPr>
        <w:tc>
          <w:tcPr>
            <w:tcW w:type="dxa" w:w="540"/>
            <w:tcBorders>
              <w:top w:val="single" w:color="1E293B" w:sz="1"/>
              <w:left w:val="single" w:color="1E293B" w:sz="1"/>
              <w:bottom w:val="single" w:color="1E293B" w:sz="1"/>
              <w:right w:val="single" w:color="1E293B" w:sz="1"/>
            </w:tcBorders>
            <w:shd w:fill="1E293B" w:val="clear"/>
            <w:tcMar>
              <w:top w:type="dxa" w:w="80"/>
              <w:left w:type="dxa" w:w="130"/>
              <w:bottom w:type="dxa" w:w="80"/>
              <w:right w:type="dxa" w:w="130"/>
            </w:tcMar>
            <w:vAlign w:val="top"/>
          </w:tcPr>
          <w:p>
            <w:r>
              <w:rPr>
                <w:rFonts w:ascii="Arial" w:cs="Arial" w:eastAsia="Arial" w:hAnsi="Arial"/>
                <w:b/>
                <w:bCs/>
                <w:color w:val="FFFFFF"/>
                <w:sz w:val="17"/>
                <w:szCs w:val="17"/>
              </w:rPr>
              <w:t xml:space="preserve">Step</w:t>
            </w:r>
          </w:p>
        </w:tc>
        <w:tc>
          <w:tcPr>
            <w:tcW w:type="dxa" w:w="1200"/>
            <w:tcBorders>
              <w:top w:val="single" w:color="1E293B" w:sz="1"/>
              <w:left w:val="single" w:color="1E293B" w:sz="1"/>
              <w:bottom w:val="single" w:color="1E293B" w:sz="1"/>
              <w:right w:val="single" w:color="1E293B" w:sz="1"/>
            </w:tcBorders>
            <w:shd w:fill="1E293B" w:val="clear"/>
            <w:tcMar>
              <w:top w:type="dxa" w:w="80"/>
              <w:left w:type="dxa" w:w="130"/>
              <w:bottom w:type="dxa" w:w="80"/>
              <w:right w:type="dxa" w:w="130"/>
            </w:tcMar>
            <w:vAlign w:val="top"/>
          </w:tcPr>
          <w:p>
            <w:r>
              <w:rPr>
                <w:rFonts w:ascii="Arial" w:cs="Arial" w:eastAsia="Arial" w:hAnsi="Arial"/>
                <w:b/>
                <w:bCs/>
                <w:color w:val="FFFFFF"/>
                <w:sz w:val="17"/>
                <w:szCs w:val="17"/>
              </w:rPr>
              <w:t xml:space="preserve">Actor</w:t>
            </w:r>
          </w:p>
        </w:tc>
        <w:tc>
          <w:tcPr>
            <w:tcW w:type="dxa" w:w="2400"/>
            <w:tcBorders>
              <w:top w:val="single" w:color="1E293B" w:sz="1"/>
              <w:left w:val="single" w:color="1E293B" w:sz="1"/>
              <w:bottom w:val="single" w:color="1E293B" w:sz="1"/>
              <w:right w:val="single" w:color="1E293B" w:sz="1"/>
            </w:tcBorders>
            <w:shd w:fill="1E293B" w:val="clear"/>
            <w:tcMar>
              <w:top w:type="dxa" w:w="80"/>
              <w:left w:type="dxa" w:w="130"/>
              <w:bottom w:type="dxa" w:w="80"/>
              <w:right w:type="dxa" w:w="130"/>
            </w:tcMar>
            <w:vAlign w:val="top"/>
          </w:tcPr>
          <w:p>
            <w:r>
              <w:rPr>
                <w:rFonts w:ascii="Arial" w:cs="Arial" w:eastAsia="Arial" w:hAnsi="Arial"/>
                <w:b/>
                <w:bCs/>
                <w:color w:val="FFFFFF"/>
                <w:sz w:val="17"/>
                <w:szCs w:val="17"/>
              </w:rPr>
              <w:t xml:space="preserve">User Action</w:t>
            </w:r>
          </w:p>
        </w:tc>
        <w:tc>
          <w:tcPr>
            <w:tcW w:type="dxa" w:w="2760"/>
            <w:tcBorders>
              <w:top w:val="single" w:color="1E293B" w:sz="1"/>
              <w:left w:val="single" w:color="1E293B" w:sz="1"/>
              <w:bottom w:val="single" w:color="1E293B" w:sz="1"/>
              <w:right w:val="single" w:color="1E293B" w:sz="1"/>
            </w:tcBorders>
            <w:shd w:fill="1E293B" w:val="clear"/>
            <w:tcMar>
              <w:top w:type="dxa" w:w="80"/>
              <w:left w:type="dxa" w:w="130"/>
              <w:bottom w:type="dxa" w:w="80"/>
              <w:right w:type="dxa" w:w="130"/>
            </w:tcMar>
            <w:vAlign w:val="top"/>
          </w:tcPr>
          <w:p>
            <w:r>
              <w:rPr>
                <w:rFonts w:ascii="Arial" w:cs="Arial" w:eastAsia="Arial" w:hAnsi="Arial"/>
                <w:b/>
                <w:bCs/>
                <w:color w:val="FFFFFF"/>
                <w:sz w:val="17"/>
                <w:szCs w:val="17"/>
              </w:rPr>
              <w:t xml:space="preserve">Platform Response</w:t>
            </w:r>
          </w:p>
        </w:tc>
        <w:tc>
          <w:tcPr>
            <w:tcW w:type="dxa" w:w="2460"/>
            <w:tcBorders>
              <w:top w:val="single" w:color="1E293B" w:sz="1"/>
              <w:left w:val="single" w:color="1E293B" w:sz="1"/>
              <w:bottom w:val="single" w:color="1E293B" w:sz="1"/>
              <w:right w:val="single" w:color="1E293B" w:sz="1"/>
            </w:tcBorders>
            <w:shd w:fill="1E293B" w:val="clear"/>
            <w:tcMar>
              <w:top w:type="dxa" w:w="80"/>
              <w:left w:type="dxa" w:w="130"/>
              <w:bottom w:type="dxa" w:w="80"/>
              <w:right w:type="dxa" w:w="130"/>
            </w:tcMar>
            <w:vAlign w:val="top"/>
          </w:tcPr>
          <w:p>
            <w:r>
              <w:rPr>
                <w:rFonts w:ascii="Arial" w:cs="Arial" w:eastAsia="Arial" w:hAnsi="Arial"/>
                <w:b/>
                <w:bCs/>
                <w:color w:val="FFFFFF"/>
                <w:sz w:val="17"/>
                <w:szCs w:val="17"/>
              </w:rPr>
              <w:t xml:space="preserve">Output / State Change</w:t>
            </w:r>
          </w:p>
        </w:tc>
      </w:tr>
      <w:tr>
        <w:tc>
          <w:tcPr>
            <w:tcW w:type="dxa" w:w="540"/>
            <w:tcBorders>
              <w:top w:val="single" w:color="E2E8F0" w:sz="1"/>
              <w:left w:val="single" w:color="E2E8F0" w:sz="1"/>
              <w:bottom w:val="single" w:color="E2E8F0" w:sz="1"/>
              <w:right w:val="single" w:color="E2E8F0" w:sz="1"/>
            </w:tcBorders>
            <w:shd w:fill="1A4DB5" w:val="clear"/>
            <w:tcMar>
              <w:top w:type="dxa" w:w="80"/>
              <w:left w:type="dxa" w:w="130"/>
              <w:bottom w:type="dxa" w:w="80"/>
              <w:right w:type="dxa" w:w="130"/>
            </w:tcMar>
            <w:vAlign w:val="top"/>
          </w:tcPr>
          <w:p>
            <w:pPr>
              <w:jc w:val="center"/>
            </w:pPr>
            <w:r>
              <w:rPr>
                <w:rFonts w:ascii="Arial" w:cs="Arial" w:eastAsia="Arial" w:hAnsi="Arial"/>
                <w:b/>
                <w:bCs/>
                <w:color w:val="FFFFFF"/>
                <w:sz w:val="18"/>
                <w:szCs w:val="18"/>
              </w:rPr>
              <w:t xml:space="preserve">1</w:t>
            </w:r>
          </w:p>
        </w:tc>
        <w:tc>
          <w:tcPr>
            <w:tcW w:type="dxa" w:w="1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b/>
                <w:bCs/>
                <w:color w:val="1E293B"/>
                <w:sz w:val="17"/>
                <w:szCs w:val="17"/>
              </w:rPr>
              <w:t xml:space="preserve">Any Team Member</w:t>
            </w:r>
          </w:p>
        </w:tc>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Clicks "Import from file" within any Legal Ops module. Selects domain (POA / IP / Licence / Litigation) and uploads Excel or CSV.</w:t>
            </w:r>
          </w:p>
        </w:tc>
        <w:tc>
          <w:tcPr>
            <w:tcW w:type="dxa" w:w="27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r>
              <w:rPr>
                <w:rFonts w:ascii="Arial" w:cs="Arial" w:eastAsia="Arial" w:hAnsi="Arial"/>
                <w:color w:val="1E293B"/>
                <w:sz w:val="17"/>
                <w:szCs w:val="17"/>
              </w:rPr>
              <w:t xml:space="preserve">Reads column headers. AI proposes mapping: "Your column 'Expiry Date' → Platform field 'Document Expiry'. Your column 'Signatory' → Platform field 'Grantee Name'."</w:t>
            </w:r>
          </w:p>
        </w:tc>
        <w:tc>
          <w:tcPr>
            <w:tcW w:type="dxa" w:w="24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r>
              <w:rPr>
                <w:rFonts w:ascii="Arial" w:cs="Arial" w:eastAsia="Arial" w:hAnsi="Arial"/>
                <w:color w:val="166534"/>
                <w:sz w:val="17"/>
                <w:szCs w:val="17"/>
              </w:rPr>
              <w:t xml:space="preserve">Mapping proposal rendered as editable table. User can accept all, adjust individual mappings, or flag columns to ignore.</w:t>
            </w:r>
          </w:p>
        </w:tc>
      </w:tr>
      <w:tr>
        <w:tc>
          <w:tcPr>
            <w:tcW w:type="dxa" w:w="540"/>
            <w:tcBorders>
              <w:top w:val="single" w:color="E2E8F0" w:sz="1"/>
              <w:left w:val="single" w:color="E2E8F0" w:sz="1"/>
              <w:bottom w:val="single" w:color="E2E8F0" w:sz="1"/>
              <w:right w:val="single" w:color="E2E8F0" w:sz="1"/>
            </w:tcBorders>
            <w:shd w:fill="0D7377" w:val="clear"/>
            <w:tcMar>
              <w:top w:type="dxa" w:w="80"/>
              <w:left w:type="dxa" w:w="130"/>
              <w:bottom w:type="dxa" w:w="80"/>
              <w:right w:type="dxa" w:w="130"/>
            </w:tcMar>
            <w:vAlign w:val="top"/>
          </w:tcPr>
          <w:p>
            <w:pPr>
              <w:jc w:val="center"/>
            </w:pPr>
            <w:r>
              <w:rPr>
                <w:rFonts w:ascii="Arial" w:cs="Arial" w:eastAsia="Arial" w:hAnsi="Arial"/>
                <w:b/>
                <w:bCs/>
                <w:color w:val="FFFFFF"/>
                <w:sz w:val="18"/>
                <w:szCs w:val="18"/>
              </w:rPr>
              <w:t xml:space="preserve">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b/>
                <w:bCs/>
                <w:color w:val="1E293B"/>
                <w:sz w:val="17"/>
                <w:szCs w:val="17"/>
              </w:rPr>
              <w:t xml:space="preserve">Any Team Member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Reviews AI-proposed column mapping. Adjusts any mismatched columns using dropdown pickers. Marks optional columns to skip.</w:t>
            </w:r>
          </w:p>
        </w:tc>
        <w:tc>
          <w:tcPr>
            <w:tcW w:type="dxa" w:w="27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r>
              <w:rPr>
                <w:rFonts w:ascii="Arial" w:cs="Arial" w:eastAsia="Arial" w:hAnsi="Arial"/>
                <w:color w:val="1E293B"/>
                <w:sz w:val="17"/>
                <w:szCs w:val="17"/>
              </w:rPr>
              <w:t xml:space="preserve">Validates that all mandatory fields have a mapped source column. Surfaces warning if mandatory field has no mapping — offers to default to blank or prompt manual entry per row.</w:t>
            </w:r>
          </w:p>
        </w:tc>
        <w:tc>
          <w:tcPr>
            <w:tcW w:type="dxa" w:w="2460"/>
            <w:tcBorders>
              <w:top w:val="single" w:color="E2E8F0" w:sz="1"/>
              <w:left w:val="single" w:color="E2E8F0" w:sz="1"/>
              <w:bottom w:val="single" w:color="E2E8F0" w:sz="1"/>
              <w:right w:val="single" w:color="E2E8F0" w:sz="1"/>
            </w:tcBorders>
            <w:shd w:fill="FAFAFA" w:val="clear"/>
            <w:tcMar>
              <w:top w:type="dxa" w:w="80"/>
              <w:left w:type="dxa" w:w="130"/>
              <w:bottom w:type="dxa" w:w="80"/>
              <w:right w:type="dxa" w:w="130"/>
            </w:tcMar>
            <w:vAlign w:val="top"/>
          </w:tcPr>
          <w:p>
            <w:r>
              <w:rPr>
                <w:rFonts w:ascii="Arial" w:cs="Arial" w:eastAsia="Arial" w:hAnsi="Arial"/>
                <w:color w:val="166534"/>
                <w:sz w:val="17"/>
                <w:szCs w:val="17"/>
              </w:rPr>
              <w:t xml:space="preserve">Validated mapping saved. Platform previews first 5 rows of imported data as it will appear in the register.</w:t>
            </w:r>
          </w:p>
        </w:tc>
      </w:tr>
      <w:tr>
        <w:tc>
          <w:tcPr>
            <w:tcW w:type="dxa" w:w="540"/>
            <w:tcBorders>
              <w:top w:val="single" w:color="E2E8F0" w:sz="1"/>
              <w:left w:val="single" w:color="E2E8F0" w:sz="1"/>
              <w:bottom w:val="single" w:color="E2E8F0" w:sz="1"/>
              <w:right w:val="single" w:color="E2E8F0" w:sz="1"/>
            </w:tcBorders>
            <w:shd w:fill="1A4DB5" w:val="clear"/>
            <w:tcMar>
              <w:top w:type="dxa" w:w="80"/>
              <w:left w:type="dxa" w:w="130"/>
              <w:bottom w:type="dxa" w:w="80"/>
              <w:right w:type="dxa" w:w="130"/>
            </w:tcMar>
            <w:vAlign w:val="top"/>
          </w:tcPr>
          <w:p>
            <w:pPr>
              <w:jc w:val="center"/>
            </w:pPr>
            <w:r>
              <w:rPr>
                <w:rFonts w:ascii="Arial" w:cs="Arial" w:eastAsia="Arial" w:hAnsi="Arial"/>
                <w:b/>
                <w:bCs/>
                <w:color w:val="FFFFFF"/>
                <w:sz w:val="18"/>
                <w:szCs w:val="18"/>
              </w:rPr>
              <w:t xml:space="preserve">3</w:t>
            </w:r>
          </w:p>
        </w:tc>
        <w:tc>
          <w:tcPr>
            <w:tcW w:type="dxa" w:w="1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b/>
                <w:bCs/>
                <w:color w:val="1E293B"/>
                <w:sz w:val="17"/>
                <w:szCs w:val="17"/>
              </w:rPr>
              <w:t xml:space="preserve">Any Team Member</w:t>
            </w:r>
          </w:p>
        </w:tc>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Confirms preview and clicks "Import". Optionally chooses: import all rows / import only rows with complete mandatory fields / review each row.</w:t>
            </w:r>
          </w:p>
        </w:tc>
        <w:tc>
          <w:tcPr>
            <w:tcW w:type="dxa" w:w="27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r>
              <w:rPr>
                <w:rFonts w:ascii="Arial" w:cs="Arial" w:eastAsia="Arial" w:hAnsi="Arial"/>
                <w:color w:val="1E293B"/>
                <w:sz w:val="17"/>
                <w:szCs w:val="17"/>
              </w:rPr>
              <w:t xml:space="preserve">Processes each row. Records with all mandatory fields → committed to register. Records with missing mandatory fields → added to "Incomplete — Action Required" queue.</w:t>
            </w:r>
          </w:p>
        </w:tc>
        <w:tc>
          <w:tcPr>
            <w:tcW w:type="dxa" w:w="24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r>
              <w:rPr>
                <w:rFonts w:ascii="Arial" w:cs="Arial" w:eastAsia="Arial" w:hAnsi="Arial"/>
                <w:color w:val="166534"/>
                <w:sz w:val="17"/>
                <w:szCs w:val="17"/>
              </w:rPr>
              <w:t xml:space="preserve">Import summary: X records imported, Y records in incomplete queue, Z rows skipped (duplicates or unreadable). Change log entry created for each committed record.</w:t>
            </w:r>
          </w:p>
        </w:tc>
      </w:tr>
      <w:tr>
        <w:tc>
          <w:tcPr>
            <w:tcW w:type="dxa" w:w="540"/>
            <w:tcBorders>
              <w:top w:val="single" w:color="E2E8F0" w:sz="1"/>
              <w:left w:val="single" w:color="E2E8F0" w:sz="1"/>
              <w:bottom w:val="single" w:color="E2E8F0" w:sz="1"/>
              <w:right w:val="single" w:color="E2E8F0" w:sz="1"/>
            </w:tcBorders>
            <w:shd w:fill="0D7377" w:val="clear"/>
            <w:tcMar>
              <w:top w:type="dxa" w:w="80"/>
              <w:left w:type="dxa" w:w="130"/>
              <w:bottom w:type="dxa" w:w="80"/>
              <w:right w:type="dxa" w:w="130"/>
            </w:tcMar>
            <w:vAlign w:val="top"/>
          </w:tcPr>
          <w:p>
            <w:pPr>
              <w:jc w:val="center"/>
            </w:pPr>
            <w:r>
              <w:rPr>
                <w:rFonts w:ascii="Arial" w:cs="Arial" w:eastAsia="Arial" w:hAnsi="Arial"/>
                <w:b/>
                <w:bCs/>
                <w:color w:val="FFFFFF"/>
                <w:sz w:val="18"/>
                <w:szCs w:val="18"/>
              </w:rPr>
              <w:t xml:space="preserve">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b/>
                <w:bCs/>
                <w:color w:val="1E293B"/>
                <w:sz w:val="17"/>
                <w:szCs w:val="17"/>
              </w:rPr>
              <w:t xml:space="preserve">Platform (Automatic)</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w:t>
            </w:r>
          </w:p>
        </w:tc>
        <w:tc>
          <w:tcPr>
            <w:tcW w:type="dxa" w:w="27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r>
              <w:rPr>
                <w:rFonts w:ascii="Arial" w:cs="Arial" w:eastAsia="Arial" w:hAnsi="Arial"/>
                <w:color w:val="1E293B"/>
                <w:sz w:val="17"/>
                <w:szCs w:val="17"/>
              </w:rPr>
              <w:t xml:space="preserve">Immediately runs expiry monitoring, gap detection, and cross-reference checks against existing OpCo and entity data already in the GRC platform.</w:t>
            </w:r>
          </w:p>
        </w:tc>
        <w:tc>
          <w:tcPr>
            <w:tcW w:type="dxa" w:w="2460"/>
            <w:tcBorders>
              <w:top w:val="single" w:color="E2E8F0" w:sz="1"/>
              <w:left w:val="single" w:color="E2E8F0" w:sz="1"/>
              <w:bottom w:val="single" w:color="E2E8F0" w:sz="1"/>
              <w:right w:val="single" w:color="E2E8F0" w:sz="1"/>
            </w:tcBorders>
            <w:shd w:fill="FAFAFA" w:val="clear"/>
            <w:tcMar>
              <w:top w:type="dxa" w:w="80"/>
              <w:left w:type="dxa" w:w="130"/>
              <w:bottom w:type="dxa" w:w="80"/>
              <w:right w:type="dxa" w:w="130"/>
            </w:tcMar>
            <w:vAlign w:val="top"/>
          </w:tcPr>
          <w:p>
            <w:r>
              <w:rPr>
                <w:rFonts w:ascii="Arial" w:cs="Arial" w:eastAsia="Arial" w:hAnsi="Arial"/>
                <w:color w:val="166534"/>
                <w:sz w:val="17"/>
                <w:szCs w:val="17"/>
              </w:rPr>
              <w:t xml:space="preserve">Alert queue populated. Records linked to relevant OpCos. Intelligence layer activated on all imported records.</w:t>
            </w:r>
          </w:p>
        </w:tc>
      </w:tr>
    </w:tbl>
    <w:p>
      <w:pPr>
        <w:spacing w:after="120"/>
      </w:pPr>
      <w:r>
        <w:rPr>
          <w:rFonts w:ascii="Arial" w:cs="Arial" w:eastAsia="Arial" w:hAnsi="Arial"/>
          <w:sz w:val="20"/>
          <w:szCs w:val="20"/>
        </w:rPr>
        <w:t xml:space="preserve"/>
      </w:r>
    </w:p>
    <w:p>
      <w:pPr>
        <w:pStyle w:val="Heading2"/>
        <w:spacing w:before="260" w:after="120"/>
      </w:pPr>
      <w:r>
        <w:rPr>
          <w:rFonts w:ascii="Arial" w:cs="Arial" w:eastAsia="Arial" w:hAnsi="Arial"/>
          <w:b/>
          <w:bCs/>
          <w:color w:val="1A4DB5"/>
          <w:sz w:val="28"/>
          <w:szCs w:val="28"/>
        </w:rPr>
        <w:t xml:space="preserve">Route R2 — Document Upload Deep Dive (Ad-Hoc / Unstructured Files)</w:t>
      </w:r>
    </w:p>
    <w:p>
      <w:pPr>
        <w:spacing w:after="110"/>
      </w:pPr>
      <w:r>
        <w:rPr>
          <w:rFonts w:ascii="Arial" w:cs="Arial" w:eastAsia="Arial" w:hAnsi="Arial"/>
          <w:color w:val="1E293B"/>
          <w:sz w:val="20"/>
          <w:szCs w:val="20"/>
        </w:rPr>
        <w:t xml:space="preserve">When documents arrive as scanned PDFs, photographed licences, or emailed attachments — which is the reality for most teams — the upload interface provides a low-friction path that does not require the user to know the platform's data model.</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200"/>
        <w:gridCol w:w="2400"/>
        <w:gridCol w:w="2760"/>
        <w:gridCol w:w="2460"/>
      </w:tblGrid>
      <w:tr>
        <w:trPr>
          <w:tblHeader/>
        </w:trPr>
        <w:tc>
          <w:tcPr>
            <w:tcW w:type="dxa" w:w="540"/>
            <w:tcBorders>
              <w:top w:val="single" w:color="1E293B" w:sz="1"/>
              <w:left w:val="single" w:color="1E293B" w:sz="1"/>
              <w:bottom w:val="single" w:color="1E293B" w:sz="1"/>
              <w:right w:val="single" w:color="1E293B" w:sz="1"/>
            </w:tcBorders>
            <w:shd w:fill="1E293B" w:val="clear"/>
            <w:tcMar>
              <w:top w:type="dxa" w:w="80"/>
              <w:left w:type="dxa" w:w="130"/>
              <w:bottom w:type="dxa" w:w="80"/>
              <w:right w:type="dxa" w:w="130"/>
            </w:tcMar>
            <w:vAlign w:val="top"/>
          </w:tcPr>
          <w:p>
            <w:r>
              <w:rPr>
                <w:rFonts w:ascii="Arial" w:cs="Arial" w:eastAsia="Arial" w:hAnsi="Arial"/>
                <w:b/>
                <w:bCs/>
                <w:color w:val="FFFFFF"/>
                <w:sz w:val="17"/>
                <w:szCs w:val="17"/>
              </w:rPr>
              <w:t xml:space="preserve">Step</w:t>
            </w:r>
          </w:p>
        </w:tc>
        <w:tc>
          <w:tcPr>
            <w:tcW w:type="dxa" w:w="1200"/>
            <w:tcBorders>
              <w:top w:val="single" w:color="1E293B" w:sz="1"/>
              <w:left w:val="single" w:color="1E293B" w:sz="1"/>
              <w:bottom w:val="single" w:color="1E293B" w:sz="1"/>
              <w:right w:val="single" w:color="1E293B" w:sz="1"/>
            </w:tcBorders>
            <w:shd w:fill="1E293B" w:val="clear"/>
            <w:tcMar>
              <w:top w:type="dxa" w:w="80"/>
              <w:left w:type="dxa" w:w="130"/>
              <w:bottom w:type="dxa" w:w="80"/>
              <w:right w:type="dxa" w:w="130"/>
            </w:tcMar>
            <w:vAlign w:val="top"/>
          </w:tcPr>
          <w:p>
            <w:r>
              <w:rPr>
                <w:rFonts w:ascii="Arial" w:cs="Arial" w:eastAsia="Arial" w:hAnsi="Arial"/>
                <w:b/>
                <w:bCs/>
                <w:color w:val="FFFFFF"/>
                <w:sz w:val="17"/>
                <w:szCs w:val="17"/>
              </w:rPr>
              <w:t xml:space="preserve">Actor</w:t>
            </w:r>
          </w:p>
        </w:tc>
        <w:tc>
          <w:tcPr>
            <w:tcW w:type="dxa" w:w="2400"/>
            <w:tcBorders>
              <w:top w:val="single" w:color="1E293B" w:sz="1"/>
              <w:left w:val="single" w:color="1E293B" w:sz="1"/>
              <w:bottom w:val="single" w:color="1E293B" w:sz="1"/>
              <w:right w:val="single" w:color="1E293B" w:sz="1"/>
            </w:tcBorders>
            <w:shd w:fill="1E293B" w:val="clear"/>
            <w:tcMar>
              <w:top w:type="dxa" w:w="80"/>
              <w:left w:type="dxa" w:w="130"/>
              <w:bottom w:type="dxa" w:w="80"/>
              <w:right w:type="dxa" w:w="130"/>
            </w:tcMar>
            <w:vAlign w:val="top"/>
          </w:tcPr>
          <w:p>
            <w:r>
              <w:rPr>
                <w:rFonts w:ascii="Arial" w:cs="Arial" w:eastAsia="Arial" w:hAnsi="Arial"/>
                <w:b/>
                <w:bCs/>
                <w:color w:val="FFFFFF"/>
                <w:sz w:val="17"/>
                <w:szCs w:val="17"/>
              </w:rPr>
              <w:t xml:space="preserve">User Action</w:t>
            </w:r>
          </w:p>
        </w:tc>
        <w:tc>
          <w:tcPr>
            <w:tcW w:type="dxa" w:w="2760"/>
            <w:tcBorders>
              <w:top w:val="single" w:color="1E293B" w:sz="1"/>
              <w:left w:val="single" w:color="1E293B" w:sz="1"/>
              <w:bottom w:val="single" w:color="1E293B" w:sz="1"/>
              <w:right w:val="single" w:color="1E293B" w:sz="1"/>
            </w:tcBorders>
            <w:shd w:fill="1E293B" w:val="clear"/>
            <w:tcMar>
              <w:top w:type="dxa" w:w="80"/>
              <w:left w:type="dxa" w:w="130"/>
              <w:bottom w:type="dxa" w:w="80"/>
              <w:right w:type="dxa" w:w="130"/>
            </w:tcMar>
            <w:vAlign w:val="top"/>
          </w:tcPr>
          <w:p>
            <w:r>
              <w:rPr>
                <w:rFonts w:ascii="Arial" w:cs="Arial" w:eastAsia="Arial" w:hAnsi="Arial"/>
                <w:b/>
                <w:bCs/>
                <w:color w:val="FFFFFF"/>
                <w:sz w:val="17"/>
                <w:szCs w:val="17"/>
              </w:rPr>
              <w:t xml:space="preserve">Platform Response</w:t>
            </w:r>
          </w:p>
        </w:tc>
        <w:tc>
          <w:tcPr>
            <w:tcW w:type="dxa" w:w="2460"/>
            <w:tcBorders>
              <w:top w:val="single" w:color="1E293B" w:sz="1"/>
              <w:left w:val="single" w:color="1E293B" w:sz="1"/>
              <w:bottom w:val="single" w:color="1E293B" w:sz="1"/>
              <w:right w:val="single" w:color="1E293B" w:sz="1"/>
            </w:tcBorders>
            <w:shd w:fill="1E293B" w:val="clear"/>
            <w:tcMar>
              <w:top w:type="dxa" w:w="80"/>
              <w:left w:type="dxa" w:w="130"/>
              <w:bottom w:type="dxa" w:w="80"/>
              <w:right w:type="dxa" w:w="130"/>
            </w:tcMar>
            <w:vAlign w:val="top"/>
          </w:tcPr>
          <w:p>
            <w:r>
              <w:rPr>
                <w:rFonts w:ascii="Arial" w:cs="Arial" w:eastAsia="Arial" w:hAnsi="Arial"/>
                <w:b/>
                <w:bCs/>
                <w:color w:val="FFFFFF"/>
                <w:sz w:val="17"/>
                <w:szCs w:val="17"/>
              </w:rPr>
              <w:t xml:space="preserve">Output / State Change</w:t>
            </w:r>
          </w:p>
        </w:tc>
      </w:tr>
      <w:tr>
        <w:tc>
          <w:tcPr>
            <w:tcW w:type="dxa" w:w="540"/>
            <w:tcBorders>
              <w:top w:val="single" w:color="E2E8F0" w:sz="1"/>
              <w:left w:val="single" w:color="E2E8F0" w:sz="1"/>
              <w:bottom w:val="single" w:color="E2E8F0" w:sz="1"/>
              <w:right w:val="single" w:color="E2E8F0" w:sz="1"/>
            </w:tcBorders>
            <w:shd w:fill="1A4DB5" w:val="clear"/>
            <w:tcMar>
              <w:top w:type="dxa" w:w="80"/>
              <w:left w:type="dxa" w:w="130"/>
              <w:bottom w:type="dxa" w:w="80"/>
              <w:right w:type="dxa" w:w="130"/>
            </w:tcMar>
            <w:vAlign w:val="top"/>
          </w:tcPr>
          <w:p>
            <w:pPr>
              <w:jc w:val="center"/>
            </w:pPr>
            <w:r>
              <w:rPr>
                <w:rFonts w:ascii="Arial" w:cs="Arial" w:eastAsia="Arial" w:hAnsi="Arial"/>
                <w:b/>
                <w:bCs/>
                <w:color w:val="FFFFFF"/>
                <w:sz w:val="18"/>
                <w:szCs w:val="18"/>
              </w:rPr>
              <w:t xml:space="preserve">1</w:t>
            </w:r>
          </w:p>
        </w:tc>
        <w:tc>
          <w:tcPr>
            <w:tcW w:type="dxa" w:w="1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b/>
                <w:bCs/>
                <w:color w:val="1E293B"/>
                <w:sz w:val="17"/>
                <w:szCs w:val="17"/>
              </w:rPr>
              <w:t xml:space="preserve">Any Team Member</w:t>
            </w:r>
          </w:p>
        </w:tc>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Drags and drops file(s) into the upload zone, or clicks to browse. Selects document type if known (POA / Licence / IP Certificate / Court Filing). If unknown, selects "Let the platform identify".</w:t>
            </w:r>
          </w:p>
        </w:tc>
        <w:tc>
          <w:tcPr>
            <w:tcW w:type="dxa" w:w="27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r>
              <w:rPr>
                <w:rFonts w:ascii="Arial" w:cs="Arial" w:eastAsia="Arial" w:hAnsi="Arial"/>
                <w:color w:val="1E293B"/>
                <w:sz w:val="17"/>
                <w:szCs w:val="17"/>
              </w:rPr>
              <w:t xml:space="preserve">AI classifies document type from content if not specified. Runs Vision API extraction for all extractable fields. Returns structured JSON: {field_name, extracted_value, confidence_pct}.</w:t>
            </w:r>
          </w:p>
        </w:tc>
        <w:tc>
          <w:tcPr>
            <w:tcW w:type="dxa" w:w="24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r>
              <w:rPr>
                <w:rFonts w:ascii="Arial" w:cs="Arial" w:eastAsia="Arial" w:hAnsi="Arial"/>
                <w:color w:val="166534"/>
                <w:sz w:val="17"/>
                <w:szCs w:val="17"/>
              </w:rPr>
              <w:t xml:space="preserve">Extraction results rendered in a side-by-side preview: original document on left, extracted fields on right. Each field shows confidence indicator (green ≥80%, amber 60–79%, red &lt;60%).</w:t>
            </w:r>
          </w:p>
        </w:tc>
      </w:tr>
      <w:tr>
        <w:tc>
          <w:tcPr>
            <w:tcW w:type="dxa" w:w="540"/>
            <w:tcBorders>
              <w:top w:val="single" w:color="E2E8F0" w:sz="1"/>
              <w:left w:val="single" w:color="E2E8F0" w:sz="1"/>
              <w:bottom w:val="single" w:color="E2E8F0" w:sz="1"/>
              <w:right w:val="single" w:color="E2E8F0" w:sz="1"/>
            </w:tcBorders>
            <w:shd w:fill="0D7377" w:val="clear"/>
            <w:tcMar>
              <w:top w:type="dxa" w:w="80"/>
              <w:left w:type="dxa" w:w="130"/>
              <w:bottom w:type="dxa" w:w="80"/>
              <w:right w:type="dxa" w:w="130"/>
            </w:tcMar>
            <w:vAlign w:val="top"/>
          </w:tcPr>
          <w:p>
            <w:pPr>
              <w:jc w:val="center"/>
            </w:pPr>
            <w:r>
              <w:rPr>
                <w:rFonts w:ascii="Arial" w:cs="Arial" w:eastAsia="Arial" w:hAnsi="Arial"/>
                <w:b/>
                <w:bCs/>
                <w:color w:val="FFFFFF"/>
                <w:sz w:val="18"/>
                <w:szCs w:val="18"/>
              </w:rPr>
              <w:t xml:space="preserve">2</w:t>
            </w:r>
          </w:p>
        </w:tc>
        <w:tc>
          <w:tcPr>
            <w:tcW w:type="dxa" w:w="1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b/>
                <w:bCs/>
                <w:color w:val="1E293B"/>
                <w:sz w:val="17"/>
                <w:szCs w:val="17"/>
              </w:rPr>
              <w:t xml:space="preserve">Any Team Member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Reviews extracted fields. Confirms high-confidence fields (one click). Corrects or fills in low-confidence and unextracted fields. Can pan/zoom source document to verify.</w:t>
            </w:r>
          </w:p>
        </w:tc>
        <w:tc>
          <w:tcPr>
            <w:tcW w:type="dxa" w:w="27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r>
              <w:rPr>
                <w:rFonts w:ascii="Arial" w:cs="Arial" w:eastAsia="Arial" w:hAnsi="Arial"/>
                <w:color w:val="1E293B"/>
                <w:sz w:val="17"/>
                <w:szCs w:val="17"/>
              </w:rPr>
              <w:t xml:space="preserve">Accepts confirmed fields into staging area. Flags mandatory fields that are still blank after extraction. Offers to pre-fill known fields from existing OpCo data (e.g. entity name already in platform).</w:t>
            </w:r>
          </w:p>
        </w:tc>
        <w:tc>
          <w:tcPr>
            <w:tcW w:type="dxa" w:w="2460"/>
            <w:tcBorders>
              <w:top w:val="single" w:color="E2E8F0" w:sz="1"/>
              <w:left w:val="single" w:color="E2E8F0" w:sz="1"/>
              <w:bottom w:val="single" w:color="E2E8F0" w:sz="1"/>
              <w:right w:val="single" w:color="E2E8F0" w:sz="1"/>
            </w:tcBorders>
            <w:shd w:fill="FAFAFA" w:val="clear"/>
            <w:tcMar>
              <w:top w:type="dxa" w:w="80"/>
              <w:left w:type="dxa" w:w="130"/>
              <w:bottom w:type="dxa" w:w="80"/>
              <w:right w:type="dxa" w:w="130"/>
            </w:tcMar>
            <w:vAlign w:val="top"/>
          </w:tcPr>
          <w:p>
            <w:r>
              <w:rPr>
                <w:rFonts w:ascii="Arial" w:cs="Arial" w:eastAsia="Arial" w:hAnsi="Arial"/>
                <w:color w:val="166534"/>
                <w:sz w:val="17"/>
                <w:szCs w:val="17"/>
              </w:rPr>
              <w:t xml:space="preserve">All fields either confirmed, corrected, or flagged as 'Pending'. User cannot commit a record with mandatory fields in 'Pending' state — must fill them or explicitly defer.</w:t>
            </w:r>
          </w:p>
        </w:tc>
      </w:tr>
      <w:tr>
        <w:tc>
          <w:tcPr>
            <w:tcW w:type="dxa" w:w="540"/>
            <w:tcBorders>
              <w:top w:val="single" w:color="E2E8F0" w:sz="1"/>
              <w:left w:val="single" w:color="E2E8F0" w:sz="1"/>
              <w:bottom w:val="single" w:color="E2E8F0" w:sz="1"/>
              <w:right w:val="single" w:color="E2E8F0" w:sz="1"/>
            </w:tcBorders>
            <w:shd w:fill="1A4DB5" w:val="clear"/>
            <w:tcMar>
              <w:top w:type="dxa" w:w="80"/>
              <w:left w:type="dxa" w:w="130"/>
              <w:bottom w:type="dxa" w:w="80"/>
              <w:right w:type="dxa" w:w="130"/>
            </w:tcMar>
            <w:vAlign w:val="top"/>
          </w:tcPr>
          <w:p>
            <w:pPr>
              <w:jc w:val="center"/>
            </w:pPr>
            <w:r>
              <w:rPr>
                <w:rFonts w:ascii="Arial" w:cs="Arial" w:eastAsia="Arial" w:hAnsi="Arial"/>
                <w:b/>
                <w:bCs/>
                <w:color w:val="FFFFFF"/>
                <w:sz w:val="18"/>
                <w:szCs w:val="18"/>
              </w:rPr>
              <w:t xml:space="preserve">3</w:t>
            </w:r>
          </w:p>
        </w:tc>
        <w:tc>
          <w:tcPr>
            <w:tcW w:type="dxa" w:w="1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b/>
                <w:bCs/>
                <w:color w:val="1E293B"/>
                <w:sz w:val="17"/>
                <w:szCs w:val="17"/>
              </w:rPr>
              <w:t xml:space="preserve">Any Team Member</w:t>
            </w:r>
          </w:p>
        </w:tc>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Reviews any cross-reference warnings (e.g. "Grantee name on this POA does not match any active employee in the platform"). Resolves or acknowledges each warning.</w:t>
            </w:r>
          </w:p>
        </w:tc>
        <w:tc>
          <w:tcPr>
            <w:tcW w:type="dxa" w:w="27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r>
              <w:rPr>
                <w:rFonts w:ascii="Arial" w:cs="Arial" w:eastAsia="Arial" w:hAnsi="Arial"/>
                <w:color w:val="1E293B"/>
                <w:sz w:val="17"/>
                <w:szCs w:val="17"/>
              </w:rPr>
              <w:t xml:space="preserve">Cross-checks extracted entities against: existing OpCo register, UBO register, active employee list (if HR integration active), and known licensing authorities.</w:t>
            </w:r>
          </w:p>
        </w:tc>
        <w:tc>
          <w:tcPr>
            <w:tcW w:type="dxa" w:w="2460"/>
            <w:tcBorders>
              <w:top w:val="single" w:color="E2E8F0" w:sz="1"/>
              <w:left w:val="single" w:color="E2E8F0" w:sz="1"/>
              <w:bottom w:val="single" w:color="E2E8F0" w:sz="1"/>
              <w:right w:val="single" w:color="E2E8F0" w:sz="1"/>
            </w:tcBorders>
            <w:shd w:fill="F0FDF4" w:val="clear"/>
            <w:tcMar>
              <w:top w:type="dxa" w:w="80"/>
              <w:left w:type="dxa" w:w="130"/>
              <w:bottom w:type="dxa" w:w="80"/>
              <w:right w:type="dxa" w:w="130"/>
            </w:tcMar>
            <w:vAlign w:val="top"/>
          </w:tcPr>
          <w:p>
            <w:r>
              <w:rPr>
                <w:rFonts w:ascii="Arial" w:cs="Arial" w:eastAsia="Arial" w:hAnsi="Arial"/>
                <w:color w:val="166534"/>
                <w:sz w:val="17"/>
                <w:szCs w:val="17"/>
              </w:rPr>
              <w:t xml:space="preserve">Cross-reference status appended to record. Discrepancies logged in change log with source document as evidence.</w:t>
            </w:r>
          </w:p>
        </w:tc>
      </w:tr>
      <w:tr>
        <w:tc>
          <w:tcPr>
            <w:tcW w:type="dxa" w:w="540"/>
            <w:tcBorders>
              <w:top w:val="single" w:color="E2E8F0" w:sz="1"/>
              <w:left w:val="single" w:color="E2E8F0" w:sz="1"/>
              <w:bottom w:val="single" w:color="E2E8F0" w:sz="1"/>
              <w:right w:val="single" w:color="E2E8F0" w:sz="1"/>
            </w:tcBorders>
            <w:shd w:fill="0D7377" w:val="clear"/>
            <w:tcMar>
              <w:top w:type="dxa" w:w="80"/>
              <w:left w:type="dxa" w:w="130"/>
              <w:bottom w:type="dxa" w:w="80"/>
              <w:right w:type="dxa" w:w="130"/>
            </w:tcMar>
            <w:vAlign w:val="top"/>
          </w:tcPr>
          <w:p>
            <w:pPr>
              <w:jc w:val="center"/>
            </w:pPr>
            <w:r>
              <w:rPr>
                <w:rFonts w:ascii="Arial" w:cs="Arial" w:eastAsia="Arial" w:hAnsi="Arial"/>
                <w:b/>
                <w:bCs/>
                <w:color w:val="FFFFFF"/>
                <w:sz w:val="18"/>
                <w:szCs w:val="18"/>
              </w:rPr>
              <w:t xml:space="preserve">4</w:t>
            </w:r>
          </w:p>
        </w:tc>
        <w:tc>
          <w:tcPr>
            <w:tcW w:type="dxa" w:w="1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b/>
                <w:bCs/>
                <w:color w:val="1E293B"/>
                <w:sz w:val="17"/>
                <w:szCs w:val="17"/>
              </w:rPr>
              <w:t xml:space="preserve">Any Team Member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Clicks "Commit to register". Record goes live. Document stored in platform repository linked to the record.</w:t>
            </w:r>
          </w:p>
        </w:tc>
        <w:tc>
          <w:tcPr>
            <w:tcW w:type="dxa" w:w="27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r>
              <w:rPr>
                <w:rFonts w:ascii="Arial" w:cs="Arial" w:eastAsia="Arial" w:hAnsi="Arial"/>
                <w:color w:val="1E293B"/>
                <w:sz w:val="17"/>
                <w:szCs w:val="17"/>
              </w:rPr>
              <w:t xml:space="preserve">Record committed to the relevant module register. Intelligence layer activates: expiry monitoring, obligation triggers, alert scheduling.</w:t>
            </w:r>
          </w:p>
        </w:tc>
        <w:tc>
          <w:tcPr>
            <w:tcW w:type="dxa" w:w="2460"/>
            <w:tcBorders>
              <w:top w:val="single" w:color="E2E8F0" w:sz="1"/>
              <w:left w:val="single" w:color="E2E8F0" w:sz="1"/>
              <w:bottom w:val="single" w:color="E2E8F0" w:sz="1"/>
              <w:right w:val="single" w:color="E2E8F0" w:sz="1"/>
            </w:tcBorders>
            <w:shd w:fill="FAFAFA" w:val="clear"/>
            <w:tcMar>
              <w:top w:type="dxa" w:w="80"/>
              <w:left w:type="dxa" w:w="130"/>
              <w:bottom w:type="dxa" w:w="80"/>
              <w:right w:type="dxa" w:w="130"/>
            </w:tcMar>
            <w:vAlign w:val="top"/>
          </w:tcPr>
          <w:p>
            <w:r>
              <w:rPr>
                <w:rFonts w:ascii="Arial" w:cs="Arial" w:eastAsia="Arial" w:hAnsi="Arial"/>
                <w:color w:val="166534"/>
                <w:sz w:val="17"/>
                <w:szCs w:val="17"/>
              </w:rPr>
              <w:t xml:space="preserve">Record live in register. Document retrievable from record. Audit trail entry: who uploaded, when, extraction confidence, any corrections made.</w:t>
            </w:r>
          </w:p>
        </w:tc>
      </w:tr>
    </w:tbl>
    <w:p>
      <w:pPr>
        <w:spacing w:after="120"/>
      </w:pPr>
      <w:r>
        <w:rPr>
          <w:rFonts w:ascii="Arial" w:cs="Arial" w:eastAsia="Arial" w:hAnsi="Arial"/>
          <w:sz w:val="20"/>
          <w:szCs w:val="20"/>
        </w:rPr>
        <w:t xml:space="preserve"/>
      </w:r>
    </w:p>
    <w:p>
      <w:pPr>
        <w:pStyle w:val="Heading2"/>
        <w:spacing w:before="260" w:after="120"/>
      </w:pPr>
      <w:r>
        <w:rPr>
          <w:rFonts w:ascii="Arial" w:cs="Arial" w:eastAsia="Arial" w:hAnsi="Arial"/>
          <w:b/>
          <w:bCs/>
          <w:color w:val="1A4DB5"/>
          <w:sz w:val="28"/>
          <w:szCs w:val="28"/>
        </w:rPr>
        <w:t xml:space="preserve">Handling Mixed Batches — The Practical Reality</w:t>
      </w:r>
    </w:p>
    <w:p>
      <w:pPr>
        <w:spacing w:after="110"/>
      </w:pPr>
      <w:r>
        <w:rPr>
          <w:rFonts w:ascii="Arial" w:cs="Arial" w:eastAsia="Arial" w:hAnsi="Arial"/>
          <w:color w:val="1E293B"/>
          <w:sz w:val="20"/>
          <w:szCs w:val="20"/>
        </w:rPr>
        <w:t xml:space="preserve">Most organisations will have a mix: some data in Excel, some in PDFs, some only in someone's email. The platform handles batch ingestion across all three routes simultaneously. A user can upload a folder containing 40 files — a mix of Excel sheets, PDFs, and scanned images — and the platform will classify, extract, and stage all of them, routing each to the correct domain and flagging items that need human review before commit.</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20"/>
              <w:bottom w:type="dxa" w:w="140"/>
              <w:right w:type="dxa" w:w="220"/>
            </w:tcMar>
          </w:tcPr>
          <w:p>
            <w:pPr>
              <w:spacing w:after="60"/>
            </w:pPr>
            <w:r>
              <w:rPr>
                <w:rFonts w:ascii="Arial" w:cs="Arial" w:eastAsia="Arial" w:hAnsi="Arial"/>
                <w:b/>
                <w:bCs/>
                <w:color w:val="B45309"/>
                <w:sz w:val="19"/>
                <w:szCs w:val="19"/>
              </w:rPr>
              <w:t xml:space="preserve">Key design principle for ad-hoc data</w:t>
            </w:r>
          </w:p>
          <w:p>
            <w:r>
              <w:rPr>
                <w:rFonts w:ascii="Arial" w:cs="Arial" w:eastAsia="Arial" w:hAnsi="Arial"/>
                <w:color w:val="1E293B"/>
                <w:sz w:val="18"/>
                <w:szCs w:val="18"/>
              </w:rPr>
              <w:t xml:space="preserve">The platform never rejects a file because it does not fit a template. Every document that can be read produces at least a partial record. Every partial record shows exactly what is missing and provides a clear path to completion. The organisation's data improves incrementally — the first import does not need to be perfect.</w:t>
            </w:r>
          </w:p>
        </w:tc>
      </w:tr>
    </w:tbl>
    <w:p>
      <w:pPr>
        <w:spacing w:after="200"/>
      </w:pPr>
      <w:r>
        <w:rPr>
          <w:rFonts w:ascii="Arial" w:cs="Arial" w:eastAsia="Arial" w:hAnsi="Arial"/>
          <w:sz w:val="20"/>
          <w:szCs w:val="20"/>
        </w:rPr>
        <w:t xml:space="preserve"/>
      </w:r>
    </w:p>
    <w:p>
      <w:pPr>
        <w:pBdr>
          <w:bottom w:val="single" w:color="E2E8F0" w:sz="4" w:space="1"/>
        </w:pBd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A1628" w:val="clear"/>
            <w:tcMar>
              <w:top w:type="dxa" w:w="80"/>
              <w:left w:type="dxa" w:w="130"/>
              <w:bottom w:type="dxa" w:w="80"/>
              <w:right w:type="dxa" w:w="130"/>
            </w:tcMar>
            <w:vAlign w:val="top"/>
          </w:tcPr>
          <w:p>
            <w:pPr>
              <w:jc w:val="center"/>
            </w:pPr>
            <w:r>
              <w:rPr>
                <w:rFonts w:ascii="Arial" w:cs="Arial" w:eastAsia="Arial" w:hAnsi="Arial"/>
                <w:b/>
                <w:bCs/>
                <w:color w:val="FFFFFF"/>
                <w:sz w:val="22"/>
                <w:szCs w:val="22"/>
              </w:rPr>
              <w:t xml:space="preserve">03</w:t>
            </w:r>
          </w:p>
        </w:tc>
        <w:tc>
          <w:tcPr>
            <w:tcW w:type="dxa" w:w="8460"/>
            <w:tcBorders>
              <w:top w:val="none" w:color="FFFFFF" w:sz="0"/>
              <w:left w:val="none" w:color="FFFFFF" w:sz="0"/>
              <w:bottom w:val="none" w:color="FFFFFF" w:sz="0"/>
              <w:right w:val="none" w:color="FFFFFF" w:sz="0"/>
            </w:tcBorders>
            <w:shd w:fill="1A4DB5" w:val="clear"/>
            <w:tcMar>
              <w:top w:type="dxa" w:w="80"/>
              <w:left w:type="dxa" w:w="130"/>
              <w:bottom w:type="dxa" w:w="80"/>
              <w:right w:type="dxa" w:w="130"/>
            </w:tcMar>
            <w:vAlign w:val="top"/>
          </w:tcPr>
          <w:p>
            <w:r>
              <w:rPr>
                <w:rFonts w:ascii="Arial" w:cs="Arial" w:eastAsia="Arial" w:hAnsi="Arial"/>
                <w:b/>
                <w:bCs/>
                <w:color w:val="FFFFFF"/>
                <w:sz w:val="22"/>
                <w:szCs w:val="22"/>
              </w:rPr>
              <w:t xml:space="preserve">Role-Based Unified View — Single Interface, Contextual Intelligence</w:t>
            </w:r>
          </w:p>
        </w:tc>
      </w:tr>
    </w:tbl>
    <w:p>
      <w:pPr>
        <w:spacing w:after="80"/>
      </w:pPr>
      <w:r>
        <w:rPr>
          <w:rFonts w:ascii="Arial" w:cs="Arial" w:eastAsia="Arial" w:hAnsi="Arial"/>
          <w:sz w:val="20"/>
          <w:szCs w:val="20"/>
        </w:rPr>
        <w:t xml:space="preserve"/>
      </w:r>
    </w:p>
    <w:p>
      <w:pPr>
        <w:spacing w:after="110"/>
      </w:pPr>
      <w:r>
        <w:rPr>
          <w:rFonts w:ascii="Arial" w:cs="Arial" w:eastAsia="Arial" w:hAnsi="Arial"/>
          <w:color w:val="1E293B"/>
          <w:sz w:val="20"/>
          <w:szCs w:val="20"/>
        </w:rPr>
        <w:t xml:space="preserve">There is one application. Every user — legal PA, Head of Legal, COO, CFO, Head of Compliance — sees the same interface structure. What changes is the default emphasis, the data density, and the financial context surfaced for each role. Roles are selectable from a persistent "View As" control, allowing a user to shift perspective without changing their account permissions.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220"/>
              <w:bottom w:type="dxa" w:w="140"/>
              <w:right w:type="dxa" w:w="220"/>
            </w:tcMar>
          </w:tcPr>
          <w:p>
            <w:pPr>
              <w:spacing w:after="60"/>
            </w:pPr>
            <w:r>
              <w:rPr>
                <w:rFonts w:ascii="Arial" w:cs="Arial" w:eastAsia="Arial" w:hAnsi="Arial"/>
                <w:b/>
                <w:bCs/>
                <w:color w:val="1A4DB5"/>
                <w:sz w:val="19"/>
                <w:szCs w:val="19"/>
              </w:rPr>
              <w:t xml:space="preserve">The "View As" mechanism</w:t>
            </w:r>
          </w:p>
          <w:p>
            <w:r>
              <w:rPr>
                <w:rFonts w:ascii="Arial" w:cs="Arial" w:eastAsia="Arial" w:hAnsi="Arial"/>
                <w:color w:val="1E293B"/>
                <w:sz w:val="18"/>
                <w:szCs w:val="18"/>
              </w:rPr>
              <w:t xml:space="preserve">"View As" is a display-layer filter, not a permission system. A Head of Legal can switch to CFO View to understand how their litigation exposure maps to financial provisioning — they see the same data, rendered through the CFO lens. Permissions are set separately by the system administrator and determine what data can be edited, not what can be viewed.</w:t>
            </w:r>
          </w:p>
        </w:tc>
      </w:tr>
    </w:tbl>
    <w:p>
      <w:pPr>
        <w:spacing w:after="80"/>
      </w:pPr>
      <w:r>
        <w:rPr>
          <w:rFonts w:ascii="Arial" w:cs="Arial" w:eastAsia="Arial" w:hAnsi="Arial"/>
          <w:sz w:val="20"/>
          <w:szCs w:val="20"/>
        </w:rPr>
        <w:t xml:space="preserve"/>
      </w:r>
    </w:p>
    <w:p>
      <w:pPr>
        <w:pStyle w:val="Heading2"/>
        <w:spacing w:before="260" w:after="120"/>
      </w:pPr>
      <w:r>
        <w:rPr>
          <w:rFonts w:ascii="Arial" w:cs="Arial" w:eastAsia="Arial" w:hAnsi="Arial"/>
          <w:b/>
          <w:bCs/>
          <w:color w:val="1A4DB5"/>
          <w:sz w:val="28"/>
          <w:szCs w:val="28"/>
        </w:rPr>
        <w:t xml:space="preserve">Role Profiles — Default View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Role</w:t>
            </w:r>
          </w:p>
        </w:tc>
        <w:tc>
          <w:tcPr>
            <w:tcW w:type="dxa" w:w="2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Default View Surfaces</w:t>
            </w:r>
          </w:p>
        </w:tc>
        <w:tc>
          <w:tcPr>
            <w:tcW w:type="dxa" w:w="2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Hidden By Default</w:t>
            </w:r>
          </w:p>
        </w:tc>
        <w:tc>
          <w:tcPr>
            <w:tcW w:type="dxa" w:w="216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Refresh Cadence</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color w:val="1A4DB5"/>
                <w:sz w:val="17"/>
                <w:szCs w:val="17"/>
              </w:rPr>
              <w:t xml:space="preserve">Legal PA / Operations</w:t>
            </w:r>
          </w:p>
        </w:tc>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My tasks: expiries due this week, incomplete records, documents awaiting upload, attestation steps outstanding</w:t>
            </w:r>
          </w:p>
        </w:tc>
        <w:tc>
          <w:tcPr>
            <w:tcW w:type="dxa" w:w="280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color w:val="64748B"/>
                <w:sz w:val="17"/>
                <w:szCs w:val="17"/>
              </w:rPr>
              <w:t xml:space="preserve">Financial exposure totals, litigation strategy details, M&amp;A financial impact</w:t>
            </w:r>
          </w:p>
        </w:tc>
        <w:tc>
          <w:tcPr>
            <w:tcW w:type="dxa" w:w="216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Real-time (task-driven)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color w:val="1A4DB5"/>
                <w:sz w:val="17"/>
                <w:szCs w:val="17"/>
              </w:rPr>
              <w:t xml:space="preserve">Head of Legal / GC</w:t>
            </w:r>
          </w:p>
        </w:tc>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Full module view: register health, open gaps, upcoming deadlines, counsel instructions, portfolio coverage</w:t>
            </w:r>
          </w:p>
        </w:tc>
        <w:tc>
          <w:tcPr>
            <w:tcW w:type="dxa" w:w="280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color w:val="64748B"/>
                <w:sz w:val="17"/>
                <w:szCs w:val="17"/>
              </w:rPr>
              <w:t xml:space="preserve">Capex/Opex financial modelling (Phase 3)</w:t>
            </w:r>
          </w:p>
        </w:tc>
        <w:tc>
          <w:tcPr>
            <w:tcW w:type="dxa" w:w="21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Daily digest + real-time alerts</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color w:val="1A4DB5"/>
                <w:sz w:val="17"/>
                <w:szCs w:val="17"/>
              </w:rPr>
              <w:t xml:space="preserve">Head of Compliance</w:t>
            </w:r>
          </w:p>
        </w:tc>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Compliance posture per OpCo, document expiry status, attestation compliance rates, regulatory framework linkages</w:t>
            </w:r>
          </w:p>
        </w:tc>
        <w:tc>
          <w:tcPr>
            <w:tcW w:type="dxa" w:w="280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color w:val="64748B"/>
                <w:sz w:val="17"/>
                <w:szCs w:val="17"/>
              </w:rPr>
              <w:t xml:space="preserve">Litigation strategy, financial provisioning</w:t>
            </w:r>
          </w:p>
        </w:tc>
        <w:tc>
          <w:tcPr>
            <w:tcW w:type="dxa" w:w="216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Daily digest</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color w:val="1A4DB5"/>
                <w:sz w:val="17"/>
                <w:szCs w:val="17"/>
              </w:rPr>
              <w:t xml:space="preserve">COO / Operations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Licence health per OpCo, cascade risk warnings, operational continuity exposure, renewal calendar</w:t>
            </w:r>
          </w:p>
        </w:tc>
        <w:tc>
          <w:tcPr>
            <w:tcW w:type="dxa" w:w="280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color w:val="64748B"/>
                <w:sz w:val="17"/>
                <w:szCs w:val="17"/>
              </w:rPr>
              <w:t xml:space="preserve">IP portfolio detail, litigation legal strategy</w:t>
            </w:r>
          </w:p>
        </w:tc>
        <w:tc>
          <w:tcPr>
            <w:tcW w:type="dxa" w:w="21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Weekly + critical alerts</w:t>
            </w:r>
          </w:p>
        </w:tc>
      </w:tr>
      <w:tr>
        <w:tc>
          <w:tcPr>
            <w:tcW w:type="dxa" w:w="1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color w:val="1A4DB5"/>
                <w:sz w:val="17"/>
                <w:szCs w:val="17"/>
              </w:rPr>
              <w:t xml:space="preserve">CFO (Phase 3)</w:t>
            </w:r>
          </w:p>
        </w:tc>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Financial exposure dashboard: litigation provisioning, renewal capex forecast, M&amp;A compliance cost modelling</w:t>
            </w:r>
          </w:p>
        </w:tc>
        <w:tc>
          <w:tcPr>
            <w:tcW w:type="dxa" w:w="280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color w:val="64748B"/>
                <w:sz w:val="17"/>
                <w:szCs w:val="17"/>
              </w:rPr>
              <w:t xml:space="preserve">Legal strategy detail, document-level register views</w:t>
            </w:r>
          </w:p>
        </w:tc>
        <w:tc>
          <w:tcPr>
            <w:tcW w:type="dxa" w:w="216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Monthly + M&amp;A event-driven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color w:val="1A4DB5"/>
                <w:sz w:val="17"/>
                <w:szCs w:val="17"/>
              </w:rPr>
              <w:t xml:space="preserve">Board / C-Level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Group-level health summary: % assets valid, total exposure, critical items count, trend vs last quarter</w:t>
            </w:r>
          </w:p>
        </w:tc>
        <w:tc>
          <w:tcPr>
            <w:tcW w:type="dxa" w:w="280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color w:val="64748B"/>
                <w:sz w:val="17"/>
                <w:szCs w:val="17"/>
              </w:rPr>
              <w:t xml:space="preserve">Operational detail, individual record views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Monthly board pack (auto-generated)</w:t>
            </w:r>
          </w:p>
        </w:tc>
      </w:tr>
    </w:tbl>
    <w:p>
      <w:pPr>
        <w:spacing w:after="120"/>
      </w:pPr>
      <w:r>
        <w:rPr>
          <w:rFonts w:ascii="Arial" w:cs="Arial" w:eastAsia="Arial" w:hAnsi="Arial"/>
          <w:sz w:val="20"/>
          <w:szCs w:val="20"/>
        </w:rPr>
        <w:t xml:space="preserve"/>
      </w:r>
    </w:p>
    <w:p>
      <w:pPr>
        <w:pStyle w:val="Heading2"/>
        <w:spacing w:before="260" w:after="120"/>
      </w:pPr>
      <w:r>
        <w:rPr>
          <w:rFonts w:ascii="Arial" w:cs="Arial" w:eastAsia="Arial" w:hAnsi="Arial"/>
          <w:b/>
          <w:bCs/>
          <w:color w:val="1A4DB5"/>
          <w:sz w:val="28"/>
          <w:szCs w:val="28"/>
        </w:rPr>
        <w:t xml:space="preserve">Single Dashboard — Layered Information Architecture</w:t>
      </w:r>
    </w:p>
    <w:p>
      <w:pPr>
        <w:spacing w:after="110"/>
      </w:pPr>
      <w:r>
        <w:rPr>
          <w:rFonts w:ascii="Arial" w:cs="Arial" w:eastAsia="Arial" w:hAnsi="Arial"/>
          <w:color w:val="1E293B"/>
          <w:sz w:val="20"/>
          <w:szCs w:val="20"/>
        </w:rPr>
        <w:t xml:space="preserve">The unified dashboard is built in three layers. All layers are visible in the same view — the user scrolls down to increase depth. Layer 1 is always visible above the fold. Layers 2 and 3 are accessible by scrolling or clicking into a module.</w:t>
      </w:r>
    </w:p>
    <w:p>
      <w:pPr>
        <w:spacing w:after="6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3400"/>
        <w:gridCol w:w="2720"/>
      </w:tblGrid>
      <w:tr>
        <w:trPr>
          <w:tblHeader/>
        </w:trPr>
        <w:tc>
          <w:tcPr>
            <w:tcW w:type="dxa" w:w="11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Layer</w:t>
            </w:r>
          </w:p>
        </w:tc>
        <w:tc>
          <w:tcPr>
            <w:tcW w:type="dxa" w:w="25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Name</w:t>
            </w:r>
          </w:p>
        </w:tc>
        <w:tc>
          <w:tcPr>
            <w:tcW w:type="dxa" w:w="34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What It Shows</w:t>
            </w:r>
          </w:p>
        </w:tc>
        <w:tc>
          <w:tcPr>
            <w:tcW w:type="dxa" w:w="272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Audience</w:t>
            </w:r>
          </w:p>
        </w:tc>
      </w:tr>
      <w:tr>
        <w:tc>
          <w:tcPr>
            <w:tcW w:type="dxa" w:w="1100"/>
            <w:tcBorders>
              <w:top w:val="single" w:color="E2E8F0" w:sz="1"/>
              <w:left w:val="single" w:color="E2E8F0" w:sz="1"/>
              <w:bottom w:val="single" w:color="E2E8F0" w:sz="1"/>
              <w:right w:val="single" w:color="E2E8F0" w:sz="1"/>
            </w:tcBorders>
            <w:shd w:fill="EFF6FF" w:val="clear"/>
            <w:tcMar>
              <w:top w:type="dxa" w:w="80"/>
              <w:left w:type="dxa" w:w="130"/>
              <w:bottom w:type="dxa" w:w="80"/>
              <w:right w:type="dxa" w:w="130"/>
            </w:tcMar>
            <w:vAlign w:val="top"/>
          </w:tcPr>
          <w:p>
            <w:pPr>
              <w:spacing w:after="100"/>
            </w:pPr>
            <w:r>
              <w:rPr>
                <w:rFonts w:ascii="Arial" w:cs="Arial" w:eastAsia="Arial" w:hAnsi="Arial"/>
                <w:b/>
                <w:bCs/>
                <w:color w:val="1A4DB5"/>
                <w:sz w:val="17"/>
                <w:szCs w:val="17"/>
              </w:rPr>
              <w:t xml:space="preserve">Layer 1
(Above fold)</w:t>
            </w:r>
          </w:p>
        </w:tc>
        <w:tc>
          <w:tcPr>
            <w:tcW w:type="dxa" w:w="2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Group Health Summary</w:t>
            </w:r>
          </w:p>
        </w:tc>
        <w:tc>
          <w:tcPr>
            <w:tcW w:type="dxa" w:w="3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4 metric tiles: Total assets tracked, % currently valid, critical items requiring action, items expiring in 30 days. Traffic light per domain. No interaction required to read.</w:t>
            </w:r>
          </w:p>
        </w:tc>
        <w:tc>
          <w:tcPr>
            <w:tcW w:type="dxa" w:w="272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All roles (different emphasis per View As)</w:t>
            </w:r>
          </w:p>
        </w:tc>
      </w:tr>
      <w:tr>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color w:val="1A4DB5"/>
                <w:sz w:val="17"/>
                <w:szCs w:val="17"/>
              </w:rPr>
              <w:t xml:space="preserve">Layer 2
(Domain panels)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Module Registers</w:t>
            </w:r>
          </w:p>
        </w:tc>
        <w:tc>
          <w:tcPr>
            <w:tcW w:type="dxa" w:w="3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Expandable panels per domain: POA, IP, Licences, Litigation. Each panel: record count, health %, next expiry, open gaps. Click any panel to open full register.</w:t>
            </w:r>
          </w:p>
        </w:tc>
        <w:tc>
          <w:tcPr>
            <w:tcW w:type="dxa" w:w="272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Head of Legal, Compliance, COO, Operations</w:t>
            </w:r>
          </w:p>
        </w:tc>
      </w:tr>
      <w:tr>
        <w:tc>
          <w:tcPr>
            <w:tcW w:type="dxa" w:w="1100"/>
            <w:tcBorders>
              <w:top w:val="single" w:color="E2E8F0" w:sz="1"/>
              <w:left w:val="single" w:color="E2E8F0" w:sz="1"/>
              <w:bottom w:val="single" w:color="E2E8F0" w:sz="1"/>
              <w:right w:val="single" w:color="E2E8F0" w:sz="1"/>
            </w:tcBorders>
            <w:shd w:fill="EFF6FF" w:val="clear"/>
            <w:tcMar>
              <w:top w:type="dxa" w:w="80"/>
              <w:left w:type="dxa" w:w="130"/>
              <w:bottom w:type="dxa" w:w="80"/>
              <w:right w:type="dxa" w:w="130"/>
            </w:tcMar>
            <w:vAlign w:val="top"/>
          </w:tcPr>
          <w:p>
            <w:pPr>
              <w:spacing w:after="100"/>
            </w:pPr>
            <w:r>
              <w:rPr>
                <w:rFonts w:ascii="Arial" w:cs="Arial" w:eastAsia="Arial" w:hAnsi="Arial"/>
                <w:b/>
                <w:bCs/>
                <w:color w:val="1A4DB5"/>
                <w:sz w:val="17"/>
                <w:szCs w:val="17"/>
              </w:rPr>
              <w:t xml:space="preserve">Layer 3
(Record detail)</w:t>
            </w:r>
          </w:p>
        </w:tc>
        <w:tc>
          <w:tcPr>
            <w:tcW w:type="dxa" w:w="2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Full Register + Intelligence</w:t>
            </w:r>
          </w:p>
        </w:tc>
        <w:tc>
          <w:tcPr>
            <w:tcW w:type="dxa" w:w="3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Complete filterable register per domain. Each record shows: status, expiry, linked OpCo, open actions, document evidence, change history. Intelligence feed: what changed, why it matters.</w:t>
            </w:r>
          </w:p>
        </w:tc>
        <w:tc>
          <w:tcPr>
            <w:tcW w:type="dxa" w:w="272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Operations teams, Legal PA, Compliance Analysts</w:t>
            </w:r>
          </w:p>
        </w:tc>
      </w:tr>
    </w:tbl>
    <w:p>
      <w:pPr>
        <w:spacing w:after="200"/>
      </w:pPr>
      <w:r>
        <w:rPr>
          <w:rFonts w:ascii="Arial" w:cs="Arial" w:eastAsia="Arial" w:hAnsi="Arial"/>
          <w:sz w:val="20"/>
          <w:szCs w:val="20"/>
        </w:rPr>
        <w:t xml:space="preserve"/>
      </w:r>
    </w:p>
    <w:p>
      <w:pPr>
        <w:pBdr>
          <w:bottom w:val="single" w:color="E2E8F0" w:sz="4" w:space="1"/>
        </w:pBd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DB5" w:val="clear"/>
            <w:tcMar>
              <w:top w:type="dxa" w:w="200"/>
              <w:left w:type="dxa" w:w="340"/>
              <w:bottom w:type="dxa" w:w="200"/>
              <w:right w:type="dxa" w:w="340"/>
            </w:tcMar>
          </w:tcPr>
          <w:p>
            <w:pPr>
              <w:spacing w:after="40"/>
            </w:pPr>
            <w:r>
              <w:rPr>
                <w:rFonts w:ascii="Arial" w:cs="Arial" w:eastAsia="Arial" w:hAnsi="Arial"/>
                <w:b/>
                <w:bCs/>
                <w:caps/>
                <w:color w:val="AACCEE"/>
                <w:sz w:val="18"/>
                <w:szCs w:val="18"/>
              </w:rPr>
              <w:t xml:space="preserve">PHASE 1 — MONTHS 1 – 6</w:t>
            </w:r>
          </w:p>
          <w:p>
            <w:pPr>
              <w:spacing w:after="60"/>
            </w:pPr>
            <w:r>
              <w:rPr>
                <w:rFonts w:ascii="Arial" w:cs="Arial" w:eastAsia="Arial" w:hAnsi="Arial"/>
                <w:b/>
                <w:bCs/>
                <w:color w:val="FFFFFF"/>
                <w:sz w:val="34"/>
                <w:szCs w:val="34"/>
              </w:rPr>
              <w:t xml:space="preserve">POA Lifecycle + Entity Foundation</w:t>
            </w:r>
          </w:p>
          <w:p>
            <w:r>
              <w:rPr>
                <w:rFonts w:ascii="Arial" w:cs="Arial" w:eastAsia="Arial" w:hAnsi="Arial"/>
                <w:i/>
                <w:iCs/>
                <w:color w:val="B8D4EE"/>
                <w:sz w:val="19"/>
                <w:szCs w:val="19"/>
              </w:rPr>
              <w:t xml:space="preserve">Data migration from Excel/scans to live register. Expiry automation. Attestation workflow. Unified interface launched.</w:t>
            </w:r>
          </w:p>
        </w:tc>
      </w:tr>
    </w:tbl>
    <w:p>
      <w:pPr>
        <w:spacing w:after="100"/>
      </w:pPr>
      <w:r>
        <w:rPr>
          <w:rFonts w:ascii="Arial" w:cs="Arial" w:eastAsia="Arial" w:hAnsi="Arial"/>
          <w:sz w:val="20"/>
          <w:szCs w:val="20"/>
        </w:rPr>
        <w:t xml:space="preserve"/>
      </w:r>
    </w:p>
    <w:p>
      <w:pPr>
        <w:pStyle w:val="Heading2"/>
        <w:spacing w:before="260" w:after="120"/>
      </w:pPr>
      <w:r>
        <w:rPr>
          <w:rFonts w:ascii="Arial" w:cs="Arial" w:eastAsia="Arial" w:hAnsi="Arial"/>
          <w:b/>
          <w:bCs/>
          <w:color w:val="1A4DB5"/>
          <w:sz w:val="28"/>
          <w:szCs w:val="28"/>
        </w:rPr>
        <w:t xml:space="preserve">Phase 1 Scope — What Gets Built</w:t>
      </w:r>
    </w:p>
    <w:p>
      <w:pPr>
        <w:spacing w:after="110"/>
      </w:pPr>
      <w:r>
        <w:rPr>
          <w:rFonts w:ascii="Arial" w:cs="Arial" w:eastAsia="Arial" w:hAnsi="Arial"/>
          <w:color w:val="1E293B"/>
          <w:sz w:val="20"/>
          <w:szCs w:val="20"/>
        </w:rPr>
        <w:t xml:space="preserve">Phase 1 converts the most acute pain point — POA management — into a live, monitored, automated system. It also establishes the entity foundation, data ingestion pipeline, and unified interface that all subsequent phases build on. Teams that currently track POAs in Excel and discover expired documents during transactions will have a system that surfaces issues 90 days in advance.</w:t>
      </w:r>
    </w:p>
    <w:p>
      <w:pPr>
        <w:spacing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Module 1.A — POA Lifecycle Register</w:t>
      </w:r>
    </w:p>
    <w:p>
      <w:pPr>
        <w:spacing w:after="110"/>
      </w:pPr>
      <w:r>
        <w:rPr>
          <w:rFonts w:ascii="Arial" w:cs="Arial" w:eastAsia="Arial" w:hAnsi="Arial"/>
          <w:color w:val="1E293B"/>
          <w:sz w:val="20"/>
          <w:szCs w:val="20"/>
        </w:rPr>
        <w:t xml:space="preserve">A POA register is a centralised table of every Power of Attorney across every OpCo under the group. Each record holds the minimum viable set of fields that allows the platform to monitor, alert, and action without manual checking.</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1000"/>
        <w:gridCol w:w="4420"/>
      </w:tblGrid>
      <w:tr>
        <w:trPr>
          <w:tblHeader/>
        </w:trPr>
        <w:tc>
          <w:tcPr>
            <w:tcW w:type="dxa" w:w="21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Field</w:t>
            </w:r>
          </w:p>
        </w:tc>
        <w:tc>
          <w:tcPr>
            <w:tcW w:type="dxa" w:w="22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Source</w:t>
            </w:r>
          </w:p>
        </w:tc>
        <w:tc>
          <w:tcPr>
            <w:tcW w:type="dxa" w:w="10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Mandatory</w:t>
            </w:r>
          </w:p>
        </w:tc>
        <w:tc>
          <w:tcPr>
            <w:tcW w:type="dxa" w:w="442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Intelligence Use</w:t>
            </w:r>
          </w:p>
        </w:tc>
      </w:tr>
      <w:tr>
        <w:tc>
          <w:tcPr>
            <w:tcW w:type="dxa" w:w="21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Grantor (entity name)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1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Links to OpCo register; triggers entity-level alerts</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Grantee (person name)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Cross-checked against active employee list (Phase 2 HR integration)</w:t>
            </w:r>
          </w:p>
        </w:tc>
      </w:tr>
      <w:tr>
        <w:tc>
          <w:tcPr>
            <w:tcW w:type="dxa" w:w="21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Scope of authority</w:t>
            </w:r>
          </w:p>
        </w:tc>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1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Determines which transactions the grantee can authorise; drives signatory validation</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Jurisdiction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Extracted / wizard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Determines applicable attestation requirements (MoFA, Chamber, Embassy)</w:t>
            </w:r>
          </w:p>
        </w:tc>
      </w:tr>
      <w:tr>
        <w:tc>
          <w:tcPr>
            <w:tcW w:type="dxa" w:w="21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Issue date</w:t>
            </w:r>
          </w:p>
        </w:tc>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1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Base date for validity calculation</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Expiry date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 / calculated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Primary trigger for 90/60/30-day alert chain</w:t>
            </w:r>
          </w:p>
        </w:tc>
      </w:tr>
      <w:tr>
        <w:tc>
          <w:tcPr>
            <w:tcW w:type="dxa" w:w="21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Attestation status</w:t>
            </w:r>
          </w:p>
        </w:tc>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Manual / workflow</w:t>
            </w:r>
          </w:p>
        </w:tc>
        <w:tc>
          <w:tcPr>
            <w:tcW w:type="dxa" w:w="1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Drives attestation workflow; validity certificate cannot be generated until all steps complete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Attestation steps completed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Workflow steps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Ministry / Embassy / Chamber stamps tracked individually</w:t>
            </w:r>
          </w:p>
        </w:tc>
      </w:tr>
      <w:tr>
        <w:tc>
          <w:tcPr>
            <w:tcW w:type="dxa" w:w="21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Document (PDF/scan)</w:t>
            </w:r>
          </w:p>
        </w:tc>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Upload</w:t>
            </w:r>
          </w:p>
        </w:tc>
        <w:tc>
          <w:tcPr>
            <w:tcW w:type="dxa" w:w="1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Source of truth; linked to record; AI extraction source</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Linked OpCo</w:t>
            </w:r>
          </w:p>
        </w:tc>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Auto-derived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From grantor entity match in existing OpCo register</w:t>
            </w:r>
          </w:p>
        </w:tc>
      </w:tr>
      <w:tr>
        <w:tc>
          <w:tcPr>
            <w:tcW w:type="dxa" w:w="21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Responsible officer</w:t>
            </w:r>
          </w:p>
        </w:tc>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Manual</w:t>
            </w:r>
          </w:p>
        </w:tc>
        <w:tc>
          <w:tcPr>
            <w:tcW w:type="dxa" w:w="1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Yes</w:t>
            </w:r>
          </w:p>
        </w:tc>
        <w:tc>
          <w:tcPr>
            <w:tcW w:type="dxa" w:w="44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Person accountable for renewal; receives alerts</w:t>
            </w:r>
          </w:p>
        </w:tc>
      </w:tr>
      <w:tr>
        <w:tc>
          <w:tcPr>
            <w:tcW w:type="dxa" w:w="2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Revocation date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Manual / system</w:t>
            </w:r>
          </w:p>
        </w:tc>
        <w:tc>
          <w:tcPr>
            <w:tcW w:type="dxa" w:w="1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No</w:t>
            </w:r>
          </w:p>
        </w:tc>
        <w:tc>
          <w:tcPr>
            <w:tcW w:type="dxa" w:w="44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Set when grantee leaves; triggers revocation workflow</w:t>
            </w:r>
          </w:p>
        </w:tc>
      </w:tr>
      <w:tr>
        <w:tc>
          <w:tcPr>
            <w:tcW w:type="dxa" w:w="21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Revocation reason</w:t>
            </w:r>
          </w:p>
        </w:tc>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Manual</w:t>
            </w:r>
          </w:p>
        </w:tc>
        <w:tc>
          <w:tcPr>
            <w:tcW w:type="dxa" w:w="1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No</w:t>
            </w:r>
          </w:p>
        </w:tc>
        <w:tc>
          <w:tcPr>
            <w:tcW w:type="dxa" w:w="44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Termination / resignation / role change / other</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POA Intelligence — What the Platform Does Automatically Once a Record Is Live</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620"/>
      </w:tblGrid>
      <w:tr>
        <w:trPr>
          <w:tblHeader/>
        </w:trPr>
        <w:tc>
          <w:tcPr>
            <w:tcW w:type="dxa" w:w="24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Trigger</w:t>
            </w:r>
          </w:p>
        </w:tc>
        <w:tc>
          <w:tcPr>
            <w:tcW w:type="dxa" w:w="45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Automatic Action</w:t>
            </w:r>
          </w:p>
        </w:tc>
        <w:tc>
          <w:tcPr>
            <w:tcW w:type="dxa" w:w="262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Output Visible To</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Expiry date − 90 days</w:t>
            </w:r>
          </w:p>
        </w:tc>
        <w:tc>
          <w:tcPr>
            <w:tcW w:type="dxa" w:w="4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Email alert to responsible officer + task created in their dashboard</w:t>
            </w:r>
          </w:p>
        </w:tc>
        <w:tc>
          <w:tcPr>
            <w:tcW w:type="dxa" w:w="26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Legal PA, Head of Legal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Expiry date − 60 days</w:t>
            </w:r>
          </w:p>
        </w:tc>
        <w:tc>
          <w:tcPr>
            <w:tcW w:type="dxa" w:w="4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Escalation alert to Head of Legal + attestation workflow re-triggered if not completed</w:t>
            </w:r>
          </w:p>
        </w:tc>
        <w:tc>
          <w:tcPr>
            <w:tcW w:type="dxa" w:w="26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Head of Legal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Expiry date − 30 days</w:t>
            </w:r>
          </w:p>
        </w:tc>
        <w:tc>
          <w:tcPr>
            <w:tcW w:type="dxa" w:w="4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Critical alert to Head of Legal + COO if linked to operational licence</w:t>
            </w:r>
          </w:p>
        </w:tc>
        <w:tc>
          <w:tcPr>
            <w:tcW w:type="dxa" w:w="26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Head of Legal, COO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Expiry date reached</w:t>
            </w:r>
          </w:p>
        </w:tc>
        <w:tc>
          <w:tcPr>
            <w:tcW w:type="dxa" w:w="4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POA status → Expired. Scope of authority invalidated. Transaction blocks triggered (where integration active).</w:t>
            </w:r>
          </w:p>
        </w:tc>
        <w:tc>
          <w:tcPr>
            <w:tcW w:type="dxa" w:w="26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All roles (red indicator)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Grantee name does not match employee register</w:t>
            </w:r>
          </w:p>
        </w:tc>
        <w:tc>
          <w:tcPr>
            <w:tcW w:type="dxa" w:w="4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Cross-reference warning created. Head of Legal notified. No automatic action.</w:t>
            </w:r>
          </w:p>
        </w:tc>
        <w:tc>
          <w:tcPr>
            <w:tcW w:type="dxa" w:w="26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Head of Legal, Compliance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Renewal document uploaded</w:t>
            </w:r>
          </w:p>
        </w:tc>
        <w:tc>
          <w:tcPr>
            <w:tcW w:type="dxa" w:w="4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AI extracts new expiry date. Record updated. Change log entry. Old document archived.</w:t>
            </w:r>
          </w:p>
        </w:tc>
        <w:tc>
          <w:tcPr>
            <w:tcW w:type="dxa" w:w="26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Legal PA (confirmation)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Revocation triggered</w:t>
            </w:r>
          </w:p>
        </w:tc>
        <w:tc>
          <w:tcPr>
            <w:tcW w:type="dxa" w:w="4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Revocation workflow created: notify grantee, notify counterparties if configured, update register, generate revocation certificate.</w:t>
            </w:r>
          </w:p>
        </w:tc>
        <w:tc>
          <w:tcPr>
            <w:tcW w:type="dxa" w:w="26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Head of Legal, Legal PA</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Module 1.B — Entity Foundation</w:t>
      </w:r>
    </w:p>
    <w:p>
      <w:pPr>
        <w:spacing w:after="110"/>
      </w:pPr>
      <w:r>
        <w:rPr>
          <w:rFonts w:ascii="Arial" w:cs="Arial" w:eastAsia="Arial" w:hAnsi="Arial"/>
          <w:color w:val="1E293B"/>
          <w:sz w:val="20"/>
          <w:szCs w:val="20"/>
        </w:rPr>
        <w:t xml:space="preserve">The entity foundation is not a new module — it builds on the existing OpCo onboarding data already in the GRC platform. Phase 1 adds a "Legal Assets" sub-panel to every OpCo record that shows: POA count (valid / expired), documents on file, responsible officer, and a link to the full legal ops view for that entity. This means from day one, the existing GRC compliance view and the new legal ops view are connected at the entity level.</w:t>
      </w:r>
    </w:p>
    <w:p>
      <w:pPr>
        <w:spacing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Module 1.C — Unified Ingestion Interface (Foundation)</w:t>
      </w:r>
    </w:p>
    <w:p>
      <w:pPr>
        <w:spacing w:after="110"/>
      </w:pPr>
      <w:r>
        <w:rPr>
          <w:rFonts w:ascii="Arial" w:cs="Arial" w:eastAsia="Arial" w:hAnsi="Arial"/>
          <w:color w:val="1E293B"/>
          <w:sz w:val="20"/>
          <w:szCs w:val="20"/>
        </w:rPr>
        <w:t xml:space="preserve">Phase 1 delivers the complete ingestion interface described in Section 02 — all three routes (structured import, document upload, manual entry) — for the POA domain. The same ingestion infrastructure is extended to IP, Licences, and Litigation in subsequent phases without rebuilding it.</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40"/>
              <w:left w:type="dxa" w:w="220"/>
              <w:bottom w:type="dxa" w:w="140"/>
              <w:right w:type="dxa" w:w="220"/>
            </w:tcMar>
          </w:tcPr>
          <w:p>
            <w:pPr>
              <w:spacing w:after="60"/>
            </w:pPr>
            <w:r>
              <w:rPr>
                <w:rFonts w:ascii="Arial" w:cs="Arial" w:eastAsia="Arial" w:hAnsi="Arial"/>
                <w:b/>
                <w:bCs/>
                <w:color w:val="166534"/>
                <w:sz w:val="19"/>
                <w:szCs w:val="19"/>
              </w:rPr>
              <w:t xml:space="preserve">Phase 1 Migration Path for Existing Data</w:t>
            </w:r>
          </w:p>
          <w:p>
            <w:r>
              <w:rPr>
                <w:rFonts w:ascii="Arial" w:cs="Arial" w:eastAsia="Arial" w:hAnsi="Arial"/>
                <w:color w:val="1E293B"/>
                <w:sz w:val="18"/>
                <w:szCs w:val="18"/>
              </w:rPr>
              <w:t xml:space="preserve">Organisations do not need to clean their Excel before importing. The AI column mapper handles column name variations (e.g. "Attorney Name", "Authorised Person", "Grantee" all map correctly). After import, the incomplete queue shows every record that needs enrichment — the team works through it progressively over the first 30 days while the system is already active on complete records.</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Phase 1 — Delivery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600"/>
        <w:gridCol w:w="3360"/>
      </w:tblGrid>
      <w:tr>
        <w:trPr>
          <w:tblHeader/>
        </w:trPr>
        <w:tc>
          <w:tcPr>
            <w:tcW w:type="dxa" w:w="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Wk</w:t>
            </w:r>
          </w:p>
        </w:tc>
        <w:tc>
          <w:tcPr>
            <w:tcW w:type="dxa" w:w="16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Milestone</w:t>
            </w:r>
          </w:p>
        </w:tc>
        <w:tc>
          <w:tcPr>
            <w:tcW w:type="dxa" w:w="36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Deliverable</w:t>
            </w:r>
          </w:p>
        </w:tc>
        <w:tc>
          <w:tcPr>
            <w:tcW w:type="dxa" w:w="336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Success Criterion</w:t>
            </w:r>
          </w:p>
        </w:tc>
      </w:tr>
      <w:tr>
        <w:tc>
          <w:tcPr>
            <w:tcW w:type="dxa" w:w="800"/>
            <w:tcBorders>
              <w:top w:val="single" w:color="1A4DB5" w:sz="1"/>
              <w:left w:val="single" w:color="1A4DB5" w:sz="1"/>
              <w:bottom w:val="single" w:color="1A4DB5" w:sz="1"/>
              <w:right w:val="single" w:color="1A4DB5" w:sz="1"/>
            </w:tcBorders>
            <w:shd w:fill="1A4DB5"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1–2</w:t>
            </w:r>
          </w:p>
        </w:tc>
        <w:tc>
          <w:tcPr>
            <w:tcW w:type="dxa" w:w="1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Infrastructure</w:t>
            </w:r>
          </w:p>
        </w:tc>
        <w:tc>
          <w:tcPr>
            <w:tcW w:type="dxa" w:w="3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Ingestion pipeline deployed (all 3 routes). Database schema for POA + Entity Foundation. UI shell launched.</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Upload, extraction, and manual entry all functional for test records.</w:t>
            </w:r>
          </w:p>
        </w:tc>
      </w:tr>
      <w:tr>
        <w:tc>
          <w:tcPr>
            <w:tcW w:type="dxa" w:w="800"/>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3–4</w:t>
            </w:r>
          </w:p>
        </w:tc>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POA Register MVP</w:t>
            </w:r>
          </w:p>
        </w:tc>
        <w:tc>
          <w:tcPr>
            <w:tcW w:type="dxa" w:w="3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POA register live. Expiry tracking active. 90/60/30-day alert engine running. Attestation workflow steps trackable.</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At least one pilot customer has imported existing POA data and alerts are firing correctly.</w:t>
            </w:r>
          </w:p>
        </w:tc>
      </w:tr>
      <w:tr>
        <w:tc>
          <w:tcPr>
            <w:tcW w:type="dxa" w:w="800"/>
            <w:tcBorders>
              <w:top w:val="single" w:color="1A4DB5" w:sz="1"/>
              <w:left w:val="single" w:color="1A4DB5" w:sz="1"/>
              <w:bottom w:val="single" w:color="1A4DB5" w:sz="1"/>
              <w:right w:val="single" w:color="1A4DB5" w:sz="1"/>
            </w:tcBorders>
            <w:shd w:fill="1A4DB5"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5</w:t>
            </w:r>
          </w:p>
        </w:tc>
        <w:tc>
          <w:tcPr>
            <w:tcW w:type="dxa" w:w="1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Intelligence Layer</w:t>
            </w:r>
          </w:p>
        </w:tc>
        <w:tc>
          <w:tcPr>
            <w:tcW w:type="dxa" w:w="3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Cross-reference engine active (grantee vs employee list). Validity certificate generation. Revocation workflow.</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Expired POA discovery rate in pilot: 100% of expirations caught before transaction impact.</w:t>
            </w:r>
          </w:p>
        </w:tc>
      </w:tr>
      <w:tr>
        <w:tc>
          <w:tcPr>
            <w:tcW w:type="dxa" w:w="800"/>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6</w:t>
            </w:r>
          </w:p>
        </w:tc>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View As + Reporting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Role-based View As selector live. Board summary export (PDF). Head of Legal full register view. Legal PA task view.</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All 6 role views functional. PDF export passes board presentation quality test.</w:t>
            </w:r>
          </w:p>
        </w:tc>
      </w:tr>
    </w:tbl>
    <w:p>
      <w:pPr>
        <w:spacing w:after="200"/>
      </w:pPr>
      <w:r>
        <w:rPr>
          <w:rFonts w:ascii="Arial" w:cs="Arial" w:eastAsia="Arial" w:hAnsi="Arial"/>
          <w:sz w:val="20"/>
          <w:szCs w:val="20"/>
        </w:rPr>
        <w:t xml:space="preserve"/>
      </w:r>
    </w:p>
    <w:p>
      <w:pPr>
        <w:pBdr>
          <w:bottom w:val="single" w:color="E2E8F0" w:sz="4" w:space="1"/>
        </w:pBd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377" w:val="clear"/>
            <w:tcMar>
              <w:top w:type="dxa" w:w="200"/>
              <w:left w:type="dxa" w:w="340"/>
              <w:bottom w:type="dxa" w:w="200"/>
              <w:right w:type="dxa" w:w="340"/>
            </w:tcMar>
          </w:tcPr>
          <w:p>
            <w:pPr>
              <w:spacing w:after="40"/>
            </w:pPr>
            <w:r>
              <w:rPr>
                <w:rFonts w:ascii="Arial" w:cs="Arial" w:eastAsia="Arial" w:hAnsi="Arial"/>
                <w:b/>
                <w:bCs/>
                <w:caps/>
                <w:color w:val="AACCEE"/>
                <w:sz w:val="18"/>
                <w:szCs w:val="18"/>
              </w:rPr>
              <w:t xml:space="preserve">PHASE 2 — MONTHS 7 – 12</w:t>
            </w:r>
          </w:p>
          <w:p>
            <w:pPr>
              <w:spacing w:after="60"/>
            </w:pPr>
            <w:r>
              <w:rPr>
                <w:rFonts w:ascii="Arial" w:cs="Arial" w:eastAsia="Arial" w:hAnsi="Arial"/>
                <w:b/>
                <w:bCs/>
                <w:color w:val="FFFFFF"/>
                <w:sz w:val="34"/>
                <w:szCs w:val="34"/>
              </w:rPr>
              <w:t xml:space="preserve">IP Portfolio + Licence Register + Dependency Design</w:t>
            </w:r>
          </w:p>
          <w:p>
            <w:r>
              <w:rPr>
                <w:rFonts w:ascii="Arial" w:cs="Arial" w:eastAsia="Arial" w:hAnsi="Arial"/>
                <w:i/>
                <w:iCs/>
                <w:color w:val="B8D4EE"/>
                <w:sz w:val="19"/>
                <w:szCs w:val="19"/>
              </w:rPr>
              <w:t xml:space="preserve">Multi-jurisdiction IP monitoring. Licence inventory with cascade dependency model designed and seeded.</w:t>
            </w:r>
          </w:p>
        </w:tc>
      </w:tr>
    </w:tbl>
    <w:p>
      <w:pPr>
        <w:spacing w:after="100"/>
      </w:pPr>
      <w:r>
        <w:rPr>
          <w:rFonts w:ascii="Arial" w:cs="Arial" w:eastAsia="Arial" w:hAnsi="Arial"/>
          <w:sz w:val="20"/>
          <w:szCs w:val="20"/>
        </w:rPr>
        <w:t xml:space="preserve"/>
      </w:r>
    </w:p>
    <w:p>
      <w:pPr>
        <w:pStyle w:val="Heading2"/>
        <w:spacing w:before="260" w:after="120"/>
      </w:pPr>
      <w:r>
        <w:rPr>
          <w:rFonts w:ascii="Arial" w:cs="Arial" w:eastAsia="Arial" w:hAnsi="Arial"/>
          <w:b/>
          <w:bCs/>
          <w:color w:val="1A4DB5"/>
          <w:sz w:val="28"/>
          <w:szCs w:val="28"/>
        </w:rPr>
        <w:t xml:space="preserve">Phase 2 Scope</w:t>
      </w:r>
    </w:p>
    <w:p>
      <w:pPr>
        <w:spacing w:after="110"/>
      </w:pPr>
      <w:r>
        <w:rPr>
          <w:rFonts w:ascii="Arial" w:cs="Arial" w:eastAsia="Arial" w:hAnsi="Arial"/>
          <w:color w:val="1E293B"/>
          <w:sz w:val="20"/>
          <w:szCs w:val="20"/>
        </w:rPr>
        <w:t xml:space="preserve">Phase 2 adds two high-value asset classes — IP and Licences — to the same unified interface. It also introduces the cascade dependency model for licences, which is the most complex data relationship in the platform. The dependency model is designed and seeded in Phase 2 even though the full automated cascade simulation is a Phase 3 enhancement.</w:t>
      </w:r>
    </w:p>
    <w:p>
      <w:pPr>
        <w:spacing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Module 2.A — IP Portfolio Intelligence</w:t>
      </w:r>
    </w:p>
    <w:p>
      <w:pPr>
        <w:spacing w:after="110"/>
      </w:pPr>
      <w:r>
        <w:rPr>
          <w:rFonts w:ascii="Arial" w:cs="Arial" w:eastAsia="Arial" w:hAnsi="Arial"/>
          <w:color w:val="1E293B"/>
          <w:sz w:val="20"/>
          <w:szCs w:val="20"/>
        </w:rPr>
        <w:t xml:space="preserve">The IP module covers trademarks, patents, registered designs, and trade names across all GCC jurisdictions where the group operates. The fundamental problem it solves: renewal deadlines are currently managed by external agents with a conflict of interest, and no one inside the organisation has a unified view of what is registered where.</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520"/>
      </w:tblGrid>
      <w:tr>
        <w:trPr>
          <w:tblHeader/>
        </w:trPr>
        <w:tc>
          <w:tcPr>
            <w:tcW w:type="dxa" w:w="22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Field</w:t>
            </w:r>
          </w:p>
        </w:tc>
        <w:tc>
          <w:tcPr>
            <w:tcW w:type="dxa" w:w="20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Source</w:t>
            </w:r>
          </w:p>
        </w:tc>
        <w:tc>
          <w:tcPr>
            <w:tcW w:type="dxa" w:w="552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Domain Logic</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IP type (trademark / patent / design / trade name)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Determines renewal cycle: trademarks typically 10yr; patents 20yr; designs 5yr. Platform pre-populates renewal date from registration date + standard cycle.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Mark / title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5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Used in gap analysis: same mark across multiple jurisdictions should have matching registration. Missing jurisdictions flagged.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Registration number</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Primary identifier per jurisdiction. Used for agent cross-reference and renewal tracking.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Jurisdiction of registration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Extracted / wizard</w:t>
            </w:r>
          </w:p>
        </w:tc>
        <w:tc>
          <w:tcPr>
            <w:tcW w:type="dxa" w:w="5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Links to GCC jurisdiction list. Each jurisdiction entry tracked independently. Drives multi-jurisdiction matrix view.</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Classes (Nice Classification)</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Used for coverage analysis: mark registered in Class 35 (retail) but not Class 43 (F&amp;B) when entity operates in both flagged as gap.</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Registration date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5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Combined with IP type to calculate standard renewal date where explicit expiry not provided.</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Renewal / expiry date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Extracted / calculated</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Primary alert trigger. 180/90/30-day alert chain (longer lead time than POA due to agent coordination requirement).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Proof-of-use deadline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Calculated (UAE: 5yr from registration)</w:t>
            </w:r>
          </w:p>
        </w:tc>
        <w:tc>
          <w:tcPr>
            <w:tcW w:type="dxa" w:w="5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UAE trademark law requires proof of use within 5 years or registration is vulnerable to cancellation. Platform tracks separately.</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Opposition deadline</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Manual entry on notification</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When opposition filed against a registration, deadline for response is tracked as a hard date with escalating alerts.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Agent name and contact</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Manual</w:t>
            </w:r>
          </w:p>
        </w:tc>
        <w:tc>
          <w:tcPr>
            <w:tcW w:type="dxa" w:w="5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Agent performance tracking (Phase 3). Renewal instruction workflow routes to agent via platform.</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Annual renewal cost (estimated)</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Manual / imported</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Used in Phase 3 CFO view: rolling 12-month IP renewal capex forecast.</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IP Coverage Gap Analysis — Automatic Intelligence</w:t>
      </w:r>
    </w:p>
    <w:p>
      <w:pPr>
        <w:spacing w:after="110"/>
      </w:pPr>
      <w:r>
        <w:rPr>
          <w:rFonts w:ascii="Arial" w:cs="Arial" w:eastAsia="Arial" w:hAnsi="Arial"/>
          <w:color w:val="1E293B"/>
          <w:sz w:val="20"/>
          <w:szCs w:val="20"/>
        </w:rPr>
        <w:t xml:space="preserve">Once IP records are in the platform, the gap analysis engine runs continuously. It compares the IP portfolio against the OpCo jurisdiction footprint already known from the GRC onboarding data and identifies coverage gaps without being asked.</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20"/>
            </w:pPr>
            <w:r>
              <w:rPr>
                <w:rFonts w:ascii="Courier New" w:cs="Courier New" w:eastAsia="Courier New" w:hAnsi="Courier New"/>
                <w:color w:val="7BA3D4"/>
                <w:sz w:val="16"/>
                <w:szCs w:val="16"/>
              </w:rPr>
              <w:t xml:space="preserve">// IP Gap Analysis Logic — runs nightly and on any new OpCo or IP record event</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E2E8F0"/>
                <w:sz w:val="16"/>
                <w:szCs w:val="16"/>
              </w:rPr>
              <w:t xml:space="preserve">FOR EACH parent_holding:</w:t>
            </w:r>
          </w:p>
          <w:p>
            <w:pPr>
              <w:spacing w:after="20"/>
            </w:pPr>
            <w:r>
              <w:rPr>
                <w:rFonts w:ascii="Courier New" w:cs="Courier New" w:eastAsia="Courier New" w:hAnsi="Courier New"/>
                <w:color w:val="E2E8F0"/>
                <w:sz w:val="16"/>
                <w:szCs w:val="16"/>
              </w:rPr>
              <w:t xml:space="preserve">  active_jurisdictions = opcos.map(o =&gt; o.jurisdictions).flatten().unique()</w:t>
            </w:r>
          </w:p>
          <w:p>
            <w:pPr>
              <w:spacing w:after="20"/>
            </w:pPr>
            <w:r>
              <w:rPr>
                <w:rFonts w:ascii="Courier New" w:cs="Courier New" w:eastAsia="Courier New" w:hAnsi="Courier New"/>
                <w:color w:val="E2E8F0"/>
                <w:sz w:val="16"/>
                <w:szCs w:val="16"/>
              </w:rPr>
              <w:t xml:space="preserve">  registered_marks = ip_register.filter(r =&gt; r.parent == parent_holding)</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E2E8F0"/>
                <w:sz w:val="16"/>
                <w:szCs w:val="16"/>
              </w:rPr>
              <w:t xml:space="preserve">  FOR EACH brand_or_mark IN registered_marks.unique_titles():</w:t>
            </w:r>
          </w:p>
          <w:p>
            <w:pPr>
              <w:spacing w:after="20"/>
            </w:pPr>
            <w:r>
              <w:rPr>
                <w:rFonts w:ascii="Courier New" w:cs="Courier New" w:eastAsia="Courier New" w:hAnsi="Courier New"/>
                <w:color w:val="E2E8F0"/>
                <w:sz w:val="16"/>
                <w:szCs w:val="16"/>
              </w:rPr>
              <w:t xml:space="preserve">    covered_jurisdictions = registered_marks</w:t>
            </w:r>
          </w:p>
          <w:p>
            <w:pPr>
              <w:spacing w:after="20"/>
            </w:pPr>
            <w:r>
              <w:rPr>
                <w:rFonts w:ascii="Courier New" w:cs="Courier New" w:eastAsia="Courier New" w:hAnsi="Courier New"/>
                <w:color w:val="E2E8F0"/>
                <w:sz w:val="16"/>
                <w:szCs w:val="16"/>
              </w:rPr>
              <w:t xml:space="preserve">      .filter(r =&gt; r.title == brand AND r.status == ACTIVE)</w:t>
            </w:r>
          </w:p>
          <w:p>
            <w:pPr>
              <w:spacing w:after="20"/>
            </w:pPr>
            <w:r>
              <w:rPr>
                <w:rFonts w:ascii="Courier New" w:cs="Courier New" w:eastAsia="Courier New" w:hAnsi="Courier New"/>
                <w:color w:val="E2E8F0"/>
                <w:sz w:val="16"/>
                <w:szCs w:val="16"/>
              </w:rPr>
              <w:t xml:space="preserve">      .map(r =&gt; r.jurisdiction)</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E2E8F0"/>
                <w:sz w:val="16"/>
                <w:szCs w:val="16"/>
              </w:rPr>
              <w:t xml:space="preserve">    gap_jurisdictions = active_jurisdictions.subtract(covered_jurisdictions)</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7FDBFF"/>
                <w:sz w:val="16"/>
                <w:szCs w:val="16"/>
              </w:rPr>
              <w:t xml:space="preserve">    IF gap_jurisdictions.length &gt; 0:</w:t>
            </w:r>
          </w:p>
          <w:p>
            <w:pPr>
              <w:spacing w:after="20"/>
            </w:pPr>
            <w:r>
              <w:rPr>
                <w:rFonts w:ascii="Courier New" w:cs="Courier New" w:eastAsia="Courier New" w:hAnsi="Courier New"/>
                <w:color w:val="E2E8F0"/>
                <w:sz w:val="16"/>
                <w:szCs w:val="16"/>
              </w:rPr>
              <w:t xml:space="preserve">      CREATE gap_alert(</w:t>
            </w:r>
          </w:p>
          <w:p>
            <w:pPr>
              <w:spacing w:after="20"/>
            </w:pPr>
            <w:r>
              <w:rPr>
                <w:rFonts w:ascii="Courier New" w:cs="Courier New" w:eastAsia="Courier New" w:hAnsi="Courier New"/>
                <w:color w:val="E2E8F0"/>
                <w:sz w:val="16"/>
                <w:szCs w:val="16"/>
              </w:rPr>
              <w:t xml:space="preserve">        type: "IP_COVERAGE_GAP",</w:t>
            </w:r>
          </w:p>
          <w:p>
            <w:pPr>
              <w:spacing w:after="20"/>
            </w:pPr>
            <w:r>
              <w:rPr>
                <w:rFonts w:ascii="Courier New" w:cs="Courier New" w:eastAsia="Courier New" w:hAnsi="Courier New"/>
                <w:color w:val="E2E8F0"/>
                <w:sz w:val="16"/>
                <w:szCs w:val="16"/>
              </w:rPr>
              <w:t xml:space="preserve">        mark: brand_or_mark,</w:t>
            </w:r>
          </w:p>
          <w:p>
            <w:pPr>
              <w:spacing w:after="20"/>
            </w:pPr>
            <w:r>
              <w:rPr>
                <w:rFonts w:ascii="Courier New" w:cs="Courier New" w:eastAsia="Courier New" w:hAnsi="Courier New"/>
                <w:color w:val="E2E8F0"/>
                <w:sz w:val="16"/>
                <w:szCs w:val="16"/>
              </w:rPr>
              <w:t xml:space="preserve">        missing_jurisdictions: gap_jurisdictions,</w:t>
            </w:r>
          </w:p>
          <w:p>
            <w:pPr>
              <w:spacing w:after="20"/>
            </w:pPr>
            <w:r>
              <w:rPr>
                <w:rFonts w:ascii="Courier New" w:cs="Courier New" w:eastAsia="Courier New" w:hAnsi="Courier New"/>
                <w:color w:val="E2E8F0"/>
                <w:sz w:val="16"/>
                <w:szCs w:val="16"/>
              </w:rPr>
              <w:t xml:space="preserve">        severity: HIGH if gap_jurisdictions.includes(primary_revenue_jurisdiction)</w:t>
            </w:r>
          </w:p>
          <w:p>
            <w:pPr>
              <w:spacing w:after="20"/>
            </w:pPr>
            <w:r>
              <w:rPr>
                <w:rFonts w:ascii="Courier New" w:cs="Courier New" w:eastAsia="Courier New" w:hAnsi="Courier New"/>
                <w:color w:val="E2E8F0"/>
                <w:sz w:val="16"/>
                <w:szCs w:val="16"/>
              </w:rPr>
              <w:t xml:space="preserve">                  else MEDIUM</w:t>
            </w:r>
          </w:p>
          <w:p>
            <w:pPr>
              <w:spacing w:after="20"/>
            </w:pPr>
            <w:r>
              <w:rPr>
                <w:rFonts w:ascii="Courier New" w:cs="Courier New" w:eastAsia="Courier New" w:hAnsi="Courier New"/>
                <w:color w:val="E2E8F0"/>
                <w:sz w:val="16"/>
                <w:szCs w:val="16"/>
              </w:rPr>
              <w:t xml:space="preserve">      )</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Module 2.B — Licence Register (Inventory + Dependency Seed)</w:t>
      </w:r>
    </w:p>
    <w:p>
      <w:pPr>
        <w:spacing w:after="110"/>
      </w:pPr>
      <w:r>
        <w:rPr>
          <w:rFonts w:ascii="Arial" w:cs="Arial" w:eastAsia="Arial" w:hAnsi="Arial"/>
          <w:color w:val="1E293B"/>
          <w:sz w:val="20"/>
          <w:szCs w:val="20"/>
        </w:rPr>
        <w:t xml:space="preserve">The licence register is the inventory layer. Every operating licence, regulatory approval, sector-specific permit, and professional licence across all OpCos is catalogued with its issuing authority, validity period, and renewal requirements. Phase 2 builds the inventory. The cascade dependency logic is designed, documented, and seeded with relationship data in Phase 2 — the automated impact analysis that uses it is a Phase 3 feature.</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20"/>
      </w:tblGrid>
      <w:tr>
        <w:trPr>
          <w:tblHeader/>
        </w:trPr>
        <w:tc>
          <w:tcPr>
            <w:tcW w:type="dxa" w:w="24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Field</w:t>
            </w:r>
          </w:p>
        </w:tc>
        <w:tc>
          <w:tcPr>
            <w:tcW w:type="dxa" w:w="1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Source</w:t>
            </w:r>
          </w:p>
        </w:tc>
        <w:tc>
          <w:tcPr>
            <w:tcW w:type="dxa" w:w="552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Notes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Licence type (operating / professional / sectoral / regulatory)</w:t>
            </w:r>
          </w:p>
        </w:tc>
        <w:tc>
          <w:tcPr>
            <w:tcW w:type="dxa" w:w="1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Extracted / wizard</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Determines renewal cycle defaults and issuing authority lookup table. Sector-specific types: DHA, HAAD, KHDA, SCA, etc.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Issuing authority</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Extracted / wizard</w:t>
            </w:r>
          </w:p>
        </w:tc>
        <w:tc>
          <w:tcPr>
            <w:tcW w:type="dxa" w:w="5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Linked to GCC authority lookup table. Determines which jurisdiction's rules apply for renewal.</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Licence number</w:t>
            </w:r>
          </w:p>
        </w:tc>
        <w:tc>
          <w:tcPr>
            <w:tcW w:type="dxa" w:w="1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Primary identifier. Used for cross-reference with CR certificates already in GRC platform.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Licensed activities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Extracted / manual</w:t>
            </w:r>
          </w:p>
        </w:tc>
        <w:tc>
          <w:tcPr>
            <w:tcW w:type="dxa" w:w="5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Compared against CR activities. Mismatch flagged as compliance gap.</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Issue date and expiry date</w:t>
            </w:r>
          </w:p>
        </w:tc>
        <w:tc>
          <w:tcPr>
            <w:tcW w:type="dxa" w:w="1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Extracted / mandatory</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Primary alert trigger. 90/60/30-day alert chain.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Renewal requirements (document checklist)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Manual / system-populated from authority lookup</w:t>
            </w:r>
          </w:p>
        </w:tc>
        <w:tc>
          <w:tcPr>
            <w:tcW w:type="dxa" w:w="5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Each licence type has a known set of prerequisite documents. System pre-populates checklist from authority template.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Depends on (licence IDs)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Manual in Phase 2 / inferred in Phase 3</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The cascade dependency relationship. A DHA medical facility licence depends on Civil Defence certificate + Municipality approval. This field seeds the dependency graph.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Required before (licence IDs)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Derived from above</w:t>
            </w:r>
          </w:p>
        </w:tc>
        <w:tc>
          <w:tcPr>
            <w:tcW w:type="dxa" w:w="5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Reverse relationship. Allows impact question: "If this licence lapses, which licences become invalid?"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Responsible officer</w:t>
            </w:r>
          </w:p>
        </w:tc>
        <w:tc>
          <w:tcPr>
            <w:tcW w:type="dxa" w:w="1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Manual</w:t>
            </w:r>
          </w:p>
        </w:tc>
        <w:tc>
          <w:tcPr>
            <w:tcW w:type="dxa" w:w="5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Receives alerts. Accountable for renewal coordination.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Last renewal cost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Manual</w:t>
            </w:r>
          </w:p>
        </w:tc>
        <w:tc>
          <w:tcPr>
            <w:tcW w:type="dxa" w:w="5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Seeds Phase 3 CFO view: licence renewal capex forecast.</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Licence Dependency — Phase 2 Design, Phase 3 Execution</w:t>
      </w:r>
    </w:p>
    <w:p>
      <w:pPr>
        <w:spacing w:after="110"/>
      </w:pPr>
      <w:r>
        <w:rPr>
          <w:rFonts w:ascii="Arial" w:cs="Arial" w:eastAsia="Arial" w:hAnsi="Arial"/>
          <w:color w:val="1E293B"/>
          <w:sz w:val="20"/>
          <w:szCs w:val="20"/>
        </w:rPr>
        <w:t xml:space="preserve">The dependency data model is established in Phase 2. The product team populates a GCC licence dependency lookup table — the known prerequisite relationships between licence types for each sector and jurisdiction (Healthcare, Construction, F&amp;B, Retail, Logistics, Manufacturing across UAE, KSA, Qatar, Bahrain, Oman, Kuwait). When a user enters a licence, the platform asks: "Is this licence a prerequisite for any other licences this entity holds?" and offers suggestions from the lookup table.</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40"/>
              <w:left w:type="dxa" w:w="220"/>
              <w:bottom w:type="dxa" w:w="140"/>
              <w:right w:type="dxa" w:w="220"/>
            </w:tcMar>
          </w:tcPr>
          <w:p>
            <w:pPr>
              <w:spacing w:after="60"/>
            </w:pPr>
            <w:r>
              <w:rPr>
                <w:rFonts w:ascii="Arial" w:cs="Arial" w:eastAsia="Arial" w:hAnsi="Arial"/>
                <w:b/>
                <w:bCs/>
                <w:color w:val="B45309"/>
                <w:sz w:val="19"/>
                <w:szCs w:val="19"/>
              </w:rPr>
              <w:t xml:space="preserve">Design intent: seeding the graph in Phase 2</w:t>
            </w:r>
          </w:p>
          <w:p>
            <w:r>
              <w:rPr>
                <w:rFonts w:ascii="Arial" w:cs="Arial" w:eastAsia="Arial" w:hAnsi="Arial"/>
                <w:color w:val="1E293B"/>
                <w:sz w:val="18"/>
                <w:szCs w:val="18"/>
              </w:rPr>
              <w:t xml:space="preserve">The dependency graph is populated through normal licence registration. When an operations manager enters a Civil Defence certificate for a healthcare entity in Dubai, the platform suggests: "This licence is typically a prerequisite for DHA Facility Licence and Municipality Approval. Do you want to link them?" The user confirms with one click. By the end of Phase 2, the graph is substantially built from real data — Phase 3 activates the cascade simulation on top of it.</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Phase 2 — Delivery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600"/>
        <w:gridCol w:w="3360"/>
      </w:tblGrid>
      <w:tr>
        <w:trPr>
          <w:tblHeader/>
        </w:trPr>
        <w:tc>
          <w:tcPr>
            <w:tcW w:type="dxa" w:w="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Wk</w:t>
            </w:r>
          </w:p>
        </w:tc>
        <w:tc>
          <w:tcPr>
            <w:tcW w:type="dxa" w:w="16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Milestone</w:t>
            </w:r>
          </w:p>
        </w:tc>
        <w:tc>
          <w:tcPr>
            <w:tcW w:type="dxa" w:w="36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Deliverable</w:t>
            </w:r>
          </w:p>
        </w:tc>
        <w:tc>
          <w:tcPr>
            <w:tcW w:type="dxa" w:w="336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Success Criterion</w:t>
            </w:r>
          </w:p>
        </w:tc>
      </w:tr>
      <w:tr>
        <w:tc>
          <w:tcPr>
            <w:tcW w:type="dxa" w:w="800"/>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7–8</w:t>
            </w:r>
          </w:p>
        </w:tc>
        <w:tc>
          <w:tcPr>
            <w:tcW w:type="dxa" w:w="1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IP Register MVP</w:t>
            </w:r>
          </w:p>
        </w:tc>
        <w:tc>
          <w:tcPr>
            <w:tcW w:type="dxa" w:w="3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IP ingestion live (all 3 routes). Renewal calendar. 180/90/30-day alert chain. Document extraction for trademark certificates.</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Pilot customers import existing IP portfolio. 100% of upcoming renewals visible in calendar.</w:t>
            </w:r>
          </w:p>
        </w:tc>
      </w:tr>
      <w:tr>
        <w:tc>
          <w:tcPr>
            <w:tcW w:type="dxa" w:w="800"/>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9</w:t>
            </w:r>
          </w:p>
        </w:tc>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IP Intelligence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Gap analysis engine live. Proof-of-use tracker. Opposition deadline tracking. View As updated with IP panel for Head of Legal.</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Gap analysis correctly identifies missing jurisdictions for at least 3 pilot customer brand portfolios.</w:t>
            </w:r>
          </w:p>
        </w:tc>
      </w:tr>
      <w:tr>
        <w:tc>
          <w:tcPr>
            <w:tcW w:type="dxa" w:w="800"/>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10–11</w:t>
            </w:r>
          </w:p>
        </w:tc>
        <w:tc>
          <w:tcPr>
            <w:tcW w:type="dxa" w:w="1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Licence Register</w:t>
            </w:r>
          </w:p>
        </w:tc>
        <w:tc>
          <w:tcPr>
            <w:tcW w:type="dxa" w:w="3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Licence ingestion live. Renewal alerts. Document checklist per licence type. Dependency field available for manual population. GCC licence lookup table seeded.</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Operations team at pilot customers can import full licence inventory within 2 hours.</w:t>
            </w:r>
          </w:p>
        </w:tc>
      </w:tr>
      <w:tr>
        <w:tc>
          <w:tcPr>
            <w:tcW w:type="dxa" w:w="800"/>
            <w:tcBorders>
              <w:top w:val="single" w:color="0D7377" w:sz="1"/>
              <w:left w:val="single" w:color="0D7377" w:sz="1"/>
              <w:bottom w:val="single" w:color="0D7377" w:sz="1"/>
              <w:right w:val="single" w:color="0D7377" w:sz="1"/>
            </w:tcBorders>
            <w:shd w:fill="0D7377"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12</w:t>
            </w:r>
          </w:p>
        </w:tc>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Dependency Graph Seeded + Integration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Dependency relationships populated for pilot customers. Entity Foundation updated: OpCo record now shows POA count + IP count + Licence health. View As updated for COO.</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COO view shows licence health per OpCo. Dependency links visible on each licence record.</w:t>
            </w:r>
          </w:p>
        </w:tc>
      </w:tr>
    </w:tbl>
    <w:p>
      <w:pPr>
        <w:spacing w:after="200"/>
      </w:pPr>
      <w:r>
        <w:rPr>
          <w:rFonts w:ascii="Arial" w:cs="Arial" w:eastAsia="Arial" w:hAnsi="Arial"/>
          <w:sz w:val="20"/>
          <w:szCs w:val="20"/>
        </w:rPr>
        <w:t xml:space="preserve"/>
      </w:r>
    </w:p>
    <w:p>
      <w:pPr>
        <w:pBdr>
          <w:bottom w:val="single" w:color="E2E8F0" w:sz="4" w:space="1"/>
        </w:pBd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200"/>
              <w:left w:type="dxa" w:w="340"/>
              <w:bottom w:type="dxa" w:w="200"/>
              <w:right w:type="dxa" w:w="340"/>
            </w:tcMar>
          </w:tcPr>
          <w:p>
            <w:pPr>
              <w:spacing w:after="40"/>
            </w:pPr>
            <w:r>
              <w:rPr>
                <w:rFonts w:ascii="Arial" w:cs="Arial" w:eastAsia="Arial" w:hAnsi="Arial"/>
                <w:b/>
                <w:bCs/>
                <w:caps/>
                <w:color w:val="AACCEE"/>
                <w:sz w:val="18"/>
                <w:szCs w:val="18"/>
              </w:rPr>
              <w:t xml:space="preserve">PHASE 3 — MONTHS 13 – 18</w:t>
            </w:r>
          </w:p>
          <w:p>
            <w:pPr>
              <w:spacing w:after="60"/>
            </w:pPr>
            <w:r>
              <w:rPr>
                <w:rFonts w:ascii="Arial" w:cs="Arial" w:eastAsia="Arial" w:hAnsi="Arial"/>
                <w:b/>
                <w:bCs/>
                <w:color w:val="FFFFFF"/>
                <w:sz w:val="34"/>
                <w:szCs w:val="34"/>
              </w:rPr>
              <w:t xml:space="preserve">Litigation + Cascade Intelligence + CFO View + GCS Integration Design</w:t>
            </w:r>
          </w:p>
          <w:p>
            <w:r>
              <w:rPr>
                <w:rFonts w:ascii="Arial" w:cs="Arial" w:eastAsia="Arial" w:hAnsi="Arial"/>
                <w:i/>
                <w:iCs/>
                <w:color w:val="B8D4EE"/>
                <w:sz w:val="19"/>
                <w:szCs w:val="19"/>
              </w:rPr>
              <w:t xml:space="preserve">Full legal ops platform. Financial exposure layer. Board-ready intelligence. M&amp;A compliance cost modelling.</w:t>
            </w:r>
          </w:p>
        </w:tc>
      </w:tr>
    </w:tbl>
    <w:p>
      <w:pPr>
        <w:spacing w:after="100"/>
      </w:pPr>
      <w:r>
        <w:rPr>
          <w:rFonts w:ascii="Arial" w:cs="Arial" w:eastAsia="Arial" w:hAnsi="Arial"/>
          <w:sz w:val="20"/>
          <w:szCs w:val="20"/>
        </w:rPr>
        <w:t xml:space="preserve"/>
      </w:r>
    </w:p>
    <w:p>
      <w:pPr>
        <w:pStyle w:val="Heading2"/>
        <w:spacing w:before="260" w:after="120"/>
      </w:pPr>
      <w:r>
        <w:rPr>
          <w:rFonts w:ascii="Arial" w:cs="Arial" w:eastAsia="Arial" w:hAnsi="Arial"/>
          <w:b/>
          <w:bCs/>
          <w:color w:val="1A4DB5"/>
          <w:sz w:val="28"/>
          <w:szCs w:val="28"/>
        </w:rPr>
        <w:t xml:space="preserve">Phase 3 Scope</w:t>
      </w:r>
    </w:p>
    <w:p>
      <w:pPr>
        <w:spacing w:after="110"/>
      </w:pPr>
      <w:r>
        <w:rPr>
          <w:rFonts w:ascii="Arial" w:cs="Arial" w:eastAsia="Arial" w:hAnsi="Arial"/>
          <w:color w:val="1E293B"/>
          <w:sz w:val="20"/>
          <w:szCs w:val="20"/>
        </w:rPr>
        <w:t xml:space="preserve">Phase 3 completes the four-domain platform and introduces the financial intelligence layer that transforms the system from a compliance tracking tool into a strategic decision-support system for C-level executives. It also delivers the designed (but not yet activated) GCS integration pathway for the legal domains.</w:t>
      </w:r>
    </w:p>
    <w:p>
      <w:pPr>
        <w:spacing w:after="6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Module 3.A — Litigation Intelligence Register</w:t>
      </w:r>
    </w:p>
    <w:p>
      <w:pPr>
        <w:spacing w:after="110"/>
      </w:pPr>
      <w:r>
        <w:rPr>
          <w:rFonts w:ascii="Arial" w:cs="Arial" w:eastAsia="Arial" w:hAnsi="Arial"/>
          <w:color w:val="1E293B"/>
          <w:sz w:val="20"/>
          <w:szCs w:val="20"/>
        </w:rPr>
        <w:t xml:space="preserve">Litigation data is more sensitive and more dynamic than the other three domains. Cases change status, new parties are added, hearings are rescheduled, and settlement discussions alter exposure estimates. The register is designed to capture both the static record (case reference, parties, jurisdiction, counsel) and the dynamic state (current status, latest exposure estimate, next hearing date).</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20"/>
      </w:tblGrid>
      <w:tr>
        <w:trPr>
          <w:tblHeader/>
        </w:trPr>
        <w:tc>
          <w:tcPr>
            <w:tcW w:type="dxa" w:w="22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Field Group</w:t>
            </w:r>
          </w:p>
        </w:tc>
        <w:tc>
          <w:tcPr>
            <w:tcW w:type="dxa" w:w="30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Fields</w:t>
            </w:r>
          </w:p>
        </w:tc>
        <w:tc>
          <w:tcPr>
            <w:tcW w:type="dxa" w:w="452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Intelligence Use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Case Identity</w:t>
            </w:r>
          </w:p>
        </w:tc>
        <w:tc>
          <w:tcPr>
            <w:tcW w:type="dxa" w:w="3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Reference number, title, case type (civil/commercial/labour/regulatory/arbitration), filing date, jurisdiction, court/tribunal name</w:t>
            </w:r>
          </w:p>
        </w:tc>
        <w:tc>
          <w:tcPr>
            <w:tcW w:type="dxa" w:w="4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Unique identifier for cross-jurisdiction deduplication. Case type determines applicable procedural rules and deadline calculation.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Parties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Claimant(s), respondent(s), third parties, whether entity is claimant or defendant</w:t>
            </w:r>
          </w:p>
        </w:tc>
        <w:tc>
          <w:tcPr>
            <w:tcW w:type="dxa" w:w="4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Determines exposure polarity (offensive vs defensive). Platform owner entity linked to OpCo register for group-level aggregation.</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Financial Exposure</w:t>
            </w:r>
          </w:p>
        </w:tc>
        <w:tc>
          <w:tcPr>
            <w:tcW w:type="dxa" w:w="3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Claimed amount, likely outcome (win/partial/lose — % estimated), weighted exposure (claimed × loss probability), provisioned amount</w:t>
            </w:r>
          </w:p>
        </w:tc>
        <w:tc>
          <w:tcPr>
            <w:tcW w:type="dxa" w:w="4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Weighted exposure formula drives CFO dashboard. Aggregated across all cases = total group litigation exposure. Updated on every status change.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Timeline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Filing date, next hearing date, response deadline, expected resolution date (estimated), final resolution date</w:t>
            </w:r>
          </w:p>
        </w:tc>
        <w:tc>
          <w:tcPr>
            <w:tcW w:type="dxa" w:w="4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Hearing calendar populated automatically. 30/7/1-day alerts for hearing dates and submission deadlines.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Counsel</w:t>
            </w:r>
          </w:p>
        </w:tc>
        <w:tc>
          <w:tcPr>
            <w:tcW w:type="dxa" w:w="3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External counsel name, firm, fee arrangement (retainer/hourly/contingency), billed to date, estimated total cost to resolution</w:t>
            </w:r>
          </w:p>
        </w:tc>
        <w:tc>
          <w:tcPr>
            <w:tcW w:type="dxa" w:w="4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Counsel cost tracking. Aggregated by firm across all cases = firm performance and cost benchmarking in Phase 3+.</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Documents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Pleadings, evidence bundles, expert reports, settlement correspondence (privilege-tagged)</w:t>
            </w:r>
          </w:p>
        </w:tc>
        <w:tc>
          <w:tcPr>
            <w:tcW w:type="dxa" w:w="45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Document repository. Full-text search. Privilege tag prevents inadvertent disclosure in reporting.</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Strategy Notes</w:t>
            </w:r>
          </w:p>
        </w:tc>
        <w:tc>
          <w:tcPr>
            <w:tcW w:type="dxa" w:w="3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Internal legal strategy notes, settlement authority, escalation threshold</w:t>
            </w:r>
          </w:p>
        </w:tc>
        <w:tc>
          <w:tcPr>
            <w:tcW w:type="dxa" w:w="45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NOT surfaced in CFO or Board views. Restricted to Head of Legal and above.</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Module 3.B — Cascade Dependency Simulation (Licence)</w:t>
      </w:r>
    </w:p>
    <w:p>
      <w:pPr>
        <w:spacing w:after="110"/>
      </w:pPr>
      <w:r>
        <w:rPr>
          <w:rFonts w:ascii="Arial" w:cs="Arial" w:eastAsia="Arial" w:hAnsi="Arial"/>
          <w:color w:val="1E293B"/>
          <w:sz w:val="20"/>
          <w:szCs w:val="20"/>
        </w:rPr>
        <w:t xml:space="preserve">Phase 3 activates the cascade dependency graph seeded in Phase 2. The simulation answers a single question: "If this specific licence lapses today, what is the operational and financial impact on this entity and its dependent licences?" The answer is calculated automatically from the dependency graph.</w:t>
      </w:r>
    </w:p>
    <w:p>
      <w:pPr>
        <w:spacing w:after="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20"/>
            </w:pPr>
            <w:r>
              <w:rPr>
                <w:rFonts w:ascii="Courier New" w:cs="Courier New" w:eastAsia="Courier New" w:hAnsi="Courier New"/>
                <w:color w:val="7BA3D4"/>
                <w:sz w:val="16"/>
                <w:szCs w:val="16"/>
              </w:rPr>
              <w:t xml:space="preserve">// Cascade Impact Simulation — triggered by: expiry event OR manual "what-if" query</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E2E8F0"/>
                <w:sz w:val="16"/>
                <w:szCs w:val="16"/>
              </w:rPr>
              <w:t xml:space="preserve">FUNCTION simulate_cascade(licence_id, scenario="expired"):</w:t>
            </w:r>
          </w:p>
          <w:p>
            <w:pPr>
              <w:spacing w:after="20"/>
            </w:pPr>
            <w:r>
              <w:rPr>
                <w:rFonts w:ascii="Courier New" w:cs="Courier New" w:eastAsia="Courier New" w:hAnsi="Courier New"/>
                <w:color w:val="E2E8F0"/>
                <w:sz w:val="16"/>
                <w:szCs w:val="16"/>
              </w:rPr>
              <w:t xml:space="preserve">  root = licence_register.get(licence_id)</w:t>
            </w:r>
          </w:p>
          <w:p>
            <w:pPr>
              <w:spacing w:after="20"/>
            </w:pPr>
            <w:r>
              <w:rPr>
                <w:rFonts w:ascii="Courier New" w:cs="Courier New" w:eastAsia="Courier New" w:hAnsi="Courier New"/>
                <w:color w:val="E2E8F0"/>
                <w:sz w:val="16"/>
                <w:szCs w:val="16"/>
              </w:rPr>
              <w:t xml:space="preserve">  dependent_licences = dependency_graph.get_dependents(licence_id)</w:t>
            </w:r>
          </w:p>
          <w:p>
            <w:pPr>
              <w:spacing w:after="20"/>
            </w:pPr>
            <w:r>
              <w:rPr>
                <w:rFonts w:ascii="Courier New" w:cs="Courier New" w:eastAsia="Courier New" w:hAnsi="Courier New"/>
                <w:color w:val="7BA3D4"/>
                <w:sz w:val="16"/>
                <w:szCs w:val="16"/>
              </w:rPr>
              <w:t xml:space="preserve">  // Recursive: dependents of dependents</w:t>
            </w:r>
          </w:p>
          <w:p>
            <w:pPr>
              <w:spacing w:after="20"/>
            </w:pPr>
            <w:r>
              <w:rPr>
                <w:rFonts w:ascii="Courier New" w:cs="Courier New" w:eastAsia="Courier New" w:hAnsi="Courier New"/>
                <w:color w:val="E2E8F0"/>
                <w:sz w:val="16"/>
                <w:szCs w:val="16"/>
              </w:rPr>
              <w:t xml:space="preserve">  full_impact_tree = dependency_graph.traverse_downstream(licence_id)</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E2E8F0"/>
                <w:sz w:val="16"/>
                <w:szCs w:val="16"/>
              </w:rPr>
              <w:t xml:space="preserve">  impact_report = {</w:t>
            </w:r>
          </w:p>
          <w:p>
            <w:pPr>
              <w:spacing w:after="20"/>
            </w:pPr>
            <w:r>
              <w:rPr>
                <w:rFonts w:ascii="Courier New" w:cs="Courier New" w:eastAsia="Courier New" w:hAnsi="Courier New"/>
                <w:color w:val="E2E8F0"/>
                <w:sz w:val="16"/>
                <w:szCs w:val="16"/>
              </w:rPr>
              <w:t xml:space="preserve">    root_licence: root,</w:t>
            </w:r>
          </w:p>
          <w:p>
            <w:pPr>
              <w:spacing w:after="20"/>
            </w:pPr>
            <w:r>
              <w:rPr>
                <w:rFonts w:ascii="Courier New" w:cs="Courier New" w:eastAsia="Courier New" w:hAnsi="Courier New"/>
                <w:color w:val="E2E8F0"/>
                <w:sz w:val="16"/>
                <w:szCs w:val="16"/>
              </w:rPr>
              <w:t xml:space="preserve">    direct_dependents: dependent_licences,</w:t>
            </w:r>
          </w:p>
          <w:p>
            <w:pPr>
              <w:spacing w:after="20"/>
            </w:pPr>
            <w:r>
              <w:rPr>
                <w:rFonts w:ascii="Courier New" w:cs="Courier New" w:eastAsia="Courier New" w:hAnsi="Courier New"/>
                <w:color w:val="E2E8F0"/>
                <w:sz w:val="16"/>
                <w:szCs w:val="16"/>
              </w:rPr>
              <w:t xml:space="preserve">    full_cascade: full_impact_tree,</w:t>
            </w:r>
          </w:p>
          <w:p>
            <w:pPr>
              <w:spacing w:after="20"/>
            </w:pPr>
            <w:r>
              <w:rPr>
                <w:rFonts w:ascii="Courier New" w:cs="Courier New" w:eastAsia="Courier New" w:hAnsi="Courier New"/>
                <w:color w:val="E2E8F0"/>
                <w:sz w:val="16"/>
                <w:szCs w:val="16"/>
              </w:rPr>
              <w:t xml:space="preserve">    entities_affected: full_impact_tree.map(l =&gt; l.opco).unique(),</w:t>
            </w:r>
          </w:p>
          <w:p>
            <w:pPr>
              <w:spacing w:after="20"/>
            </w:pPr>
            <w:r>
              <w:rPr>
                <w:rFonts w:ascii="Courier New" w:cs="Courier New" w:eastAsia="Courier New" w:hAnsi="Courier New"/>
                <w:color w:val="E2E8F0"/>
                <w:sz w:val="16"/>
                <w:szCs w:val="16"/>
              </w:rPr>
              <w:t xml:space="preserve">    estimated_revenue_at_risk: entities_affected.sum(e =&gt; e.daily_revenue * est_downtime_days),</w:t>
            </w:r>
          </w:p>
          <w:p>
            <w:pPr>
              <w:spacing w:after="20"/>
            </w:pPr>
            <w:r>
              <w:rPr>
                <w:rFonts w:ascii="Courier New" w:cs="Courier New" w:eastAsia="Courier New" w:hAnsi="Courier New"/>
                <w:color w:val="E2E8F0"/>
                <w:sz w:val="16"/>
                <w:szCs w:val="16"/>
              </w:rPr>
              <w:t xml:space="preserve">    emergency_renewal_cost: full_impact_tree.sum(l =&gt; l.emergency_renewal_fee),</w:t>
            </w:r>
          </w:p>
          <w:p>
            <w:pPr>
              <w:spacing w:after="20"/>
            </w:pPr>
            <w:r>
              <w:rPr>
                <w:rFonts w:ascii="Courier New" w:cs="Courier New" w:eastAsia="Courier New" w:hAnsi="Courier New"/>
                <w:color w:val="E2E8F0"/>
                <w:sz w:val="16"/>
                <w:szCs w:val="16"/>
              </w:rPr>
              <w:t xml:space="preserve">    critical_path_to_restore: dependency_graph.minimum_spanning_path(licence_id)</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E2E8F0"/>
                <w:sz w:val="16"/>
                <w:szCs w:val="16"/>
              </w:rPr>
              <w:t xml:space="preserve">  NOTIFY coo_view(impact_report)</w:t>
            </w:r>
          </w:p>
          <w:p>
            <w:pPr>
              <w:spacing w:after="20"/>
            </w:pPr>
            <w:r>
              <w:rPr>
                <w:rFonts w:ascii="Courier New" w:cs="Courier New" w:eastAsia="Courier New" w:hAnsi="Courier New"/>
                <w:color w:val="E2E8F0"/>
                <w:sz w:val="16"/>
                <w:szCs w:val="16"/>
              </w:rPr>
              <w:t xml:space="preserve">  NOTIFY cfos_view(impact_report.financial_summary)</w:t>
            </w:r>
          </w:p>
          <w:p>
            <w:pPr>
              <w:spacing w:after="20"/>
            </w:pPr>
            <w:r>
              <w:rPr>
                <w:rFonts w:ascii="Courier New" w:cs="Courier New" w:eastAsia="Courier New" w:hAnsi="Courier New"/>
                <w:color w:val="E2E8F0"/>
                <w:sz w:val="16"/>
                <w:szCs w:val="16"/>
              </w:rPr>
              <w:t xml:space="preserve">  RETURN impact_report</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Module 3.C — CFO Financial Intelligence View</w:t>
      </w:r>
    </w:p>
    <w:p>
      <w:pPr>
        <w:spacing w:after="110"/>
      </w:pPr>
      <w:r>
        <w:rPr>
          <w:rFonts w:ascii="Arial" w:cs="Arial" w:eastAsia="Arial" w:hAnsi="Arial"/>
          <w:color w:val="1E293B"/>
          <w:sz w:val="20"/>
          <w:szCs w:val="20"/>
        </w:rPr>
        <w:t xml:space="preserve">The CFO view is a dedicated "View As" mode that translates all legal asset data into financial terms. It does not show records or registers — it shows financial positions, forecasts, and risk-adjusted exposures. All values are calculated from data already in the platform; the CFO view does not require any additional data entry.</w:t>
      </w:r>
    </w:p>
    <w:p>
      <w:pPr>
        <w:spacing w:after="6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20"/>
      </w:tblGrid>
      <w:tr>
        <w:trPr>
          <w:tblHeader/>
        </w:trPr>
        <w:tc>
          <w:tcPr>
            <w:tcW w:type="dxa" w:w="24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Financial Metric</w:t>
            </w:r>
          </w:p>
        </w:tc>
        <w:tc>
          <w:tcPr>
            <w:tcW w:type="dxa" w:w="3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How It Is Calculated</w:t>
            </w:r>
          </w:p>
        </w:tc>
        <w:tc>
          <w:tcPr>
            <w:tcW w:type="dxa" w:w="352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Business Question Answered</w:t>
            </w:r>
          </w:p>
        </w:tc>
      </w:tr>
      <w:tr>
        <w:tc>
          <w:tcPr>
            <w:tcW w:type="dxa" w:w="2400"/>
            <w:tcBorders>
              <w:top w:val="single" w:color="E2E8F0" w:sz="1"/>
              <w:left w:val="single" w:color="E2E8F0" w:sz="1"/>
              <w:bottom w:val="single" w:color="E2E8F0" w:sz="1"/>
              <w:right w:val="single" w:color="E2E8F0" w:sz="1"/>
            </w:tcBorders>
            <w:shd w:fill="EFF6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Litigation Exposure (Gross)</w:t>
            </w:r>
          </w:p>
        </w:tc>
        <w:tc>
          <w:tcPr>
            <w:tcW w:type="dxa" w:w="3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Sum of claimed amounts across all active cases where entity is defendant</w:t>
            </w:r>
          </w:p>
        </w:tc>
        <w:tc>
          <w:tcPr>
            <w:tcW w:type="dxa" w:w="352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What is the theoretical maximum legal liability of the group right now?</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Litigation Exposure (Weighted)</w:t>
            </w:r>
          </w:p>
        </w:tc>
        <w:tc>
          <w:tcPr>
            <w:tcW w:type="dxa" w:w="3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Sum of (claimed amount × probability of loss %) per case</w:t>
            </w:r>
          </w:p>
        </w:tc>
        <w:tc>
          <w:tcPr>
            <w:tcW w:type="dxa" w:w="352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What should we provision for litigation in this financial year?</w:t>
            </w:r>
          </w:p>
        </w:tc>
      </w:tr>
      <w:tr>
        <w:tc>
          <w:tcPr>
            <w:tcW w:type="dxa" w:w="2400"/>
            <w:tcBorders>
              <w:top w:val="single" w:color="E2E8F0" w:sz="1"/>
              <w:left w:val="single" w:color="E2E8F0" w:sz="1"/>
              <w:bottom w:val="single" w:color="E2E8F0" w:sz="1"/>
              <w:right w:val="single" w:color="E2E8F0" w:sz="1"/>
            </w:tcBorders>
            <w:shd w:fill="EFF6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IP Renewal Capex (12-month)</w:t>
            </w:r>
          </w:p>
        </w:tc>
        <w:tc>
          <w:tcPr>
            <w:tcW w:type="dxa" w:w="3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Sum of estimated renewal costs for all IP records with renewal dates in next 12 months</w:t>
            </w:r>
          </w:p>
        </w:tc>
        <w:tc>
          <w:tcPr>
            <w:tcW w:type="dxa" w:w="352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What budget do we need for IP renewals? Which jurisdictions are most expensive?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Licence Renewal Opex (12-month)</w:t>
            </w:r>
          </w:p>
        </w:tc>
        <w:tc>
          <w:tcPr>
            <w:tcW w:type="dxa" w:w="3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Sum of last renewal costs for all licences expiring in next 12 months</w:t>
            </w:r>
          </w:p>
        </w:tc>
        <w:tc>
          <w:tcPr>
            <w:tcW w:type="dxa" w:w="352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What is the operational cost of maintaining our licence portfolio for the next year?</w:t>
            </w:r>
          </w:p>
        </w:tc>
      </w:tr>
      <w:tr>
        <w:tc>
          <w:tcPr>
            <w:tcW w:type="dxa" w:w="2400"/>
            <w:tcBorders>
              <w:top w:val="single" w:color="E2E8F0" w:sz="1"/>
              <w:left w:val="single" w:color="E2E8F0" w:sz="1"/>
              <w:bottom w:val="single" w:color="E2E8F0" w:sz="1"/>
              <w:right w:val="single" w:color="E2E8F0" w:sz="1"/>
            </w:tcBorders>
            <w:shd w:fill="EFF6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Cascade Risk Exposure</w:t>
            </w:r>
          </w:p>
        </w:tc>
        <w:tc>
          <w:tcPr>
            <w:tcW w:type="dxa" w:w="3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For each licence nearing expiry: estimated revenue at risk from cascade simulation</w:t>
            </w:r>
          </w:p>
        </w:tc>
        <w:tc>
          <w:tcPr>
            <w:tcW w:type="dxa" w:w="352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Which licence renewals carry the highest operational risk if delayed?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M&amp;A Compliance Cost Estimate (Phase 3+)</w:t>
            </w:r>
          </w:p>
        </w:tc>
        <w:tc>
          <w:tcPr>
            <w:tcW w:type="dxa" w:w="3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For a target entity: sum of gap remediation costs + licence alignment costs + POA re-execution costs + IP registration extension costs</w:t>
            </w:r>
          </w:p>
        </w:tc>
        <w:tc>
          <w:tcPr>
            <w:tcW w:type="dxa" w:w="352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What is the full compliance integration cost of acquiring this target?</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GCS Integration Design — Legal Domains (Future Phase)</w:t>
      </w:r>
    </w:p>
    <w:p>
      <w:pPr>
        <w:spacing w:after="110"/>
      </w:pPr>
      <w:r>
        <w:rPr>
          <w:rFonts w:ascii="Arial" w:cs="Arial" w:eastAsia="Arial" w:hAnsi="Arial"/>
          <w:color w:val="1E293B"/>
          <w:sz w:val="20"/>
          <w:szCs w:val="20"/>
        </w:rPr>
        <w:t xml:space="preserve">The legal domains are intentionally excluded from the current GCS scoring model. They will be integrated in a future phase as a separate Legal Operations Health Score (LOHS) that runs in parallel to the GCS. The design intent is captured here for engineering awareness.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40"/>
              <w:left w:type="dxa" w:w="220"/>
              <w:bottom w:type="dxa" w:w="140"/>
              <w:right w:type="dxa" w:w="220"/>
            </w:tcMar>
          </w:tcPr>
          <w:p>
            <w:pPr>
              <w:spacing w:after="60"/>
            </w:pPr>
            <w:r>
              <w:rPr>
                <w:rFonts w:ascii="Arial" w:cs="Arial" w:eastAsia="Arial" w:hAnsi="Arial"/>
                <w:b/>
                <w:bCs/>
                <w:color w:val="B91C1C"/>
                <w:sz w:val="19"/>
                <w:szCs w:val="19"/>
              </w:rPr>
              <w:t xml:space="preserve">Why separate from GCS</w:t>
            </w:r>
          </w:p>
          <w:p>
            <w:r>
              <w:rPr>
                <w:rFonts w:ascii="Arial" w:cs="Arial" w:eastAsia="Arial" w:hAnsi="Arial"/>
                <w:color w:val="1E293B"/>
                <w:sz w:val="18"/>
                <w:szCs w:val="18"/>
              </w:rPr>
              <w:t xml:space="preserve">The GCS measures regulatory compliance posture — whether the platform has sufficient data about an entity's obligations to monitor them. The Legal Operations Health Score measures operational legal hygiene — whether assets are valid, documented, and managed. These are related but distinct dimensions. Merging them into a single score would reduce the diagnostic value of both. A group can score 85 on GCS (strong regulatory data) and 40 on LOHS (chaotic POA and IP management) — both signals are valuable and should be surfaced distinctly.</w:t>
            </w:r>
          </w:p>
        </w:tc>
      </w:tr>
    </w:tbl>
    <w:p>
      <w:pPr>
        <w:spacing w:after="60"/>
      </w:pPr>
      <w:r>
        <w:rPr>
          <w:rFonts w:ascii="Arial" w:cs="Arial" w:eastAsia="Arial" w:hAnsi="Arial"/>
          <w:sz w:val="20"/>
          <w:szCs w:val="20"/>
        </w:rPr>
        <w:t xml:space="preserve"/>
      </w:r>
    </w:p>
    <w:p>
      <w:pPr>
        <w:spacing w:after="110"/>
      </w:pPr>
      <w:r>
        <w:rPr>
          <w:rFonts w:ascii="Arial" w:cs="Arial" w:eastAsia="Arial" w:hAnsi="Arial"/>
          <w:color w:val="1E293B"/>
          <w:sz w:val="20"/>
          <w:szCs w:val="20"/>
        </w:rPr>
        <w:t xml:space="preserve">The LOHS will be structured as a companion score on the same 0–100 scale, visible alongside GCS on the Parent Holding Overview. It will weight domains differently by sector: for a healthcare group, Licence Health carries the highest weight; for a consumer goods group, IP Coverage is most material; for a construction group, POA Validity (project signatory authority) and Licence Health carry equal weight.</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100"/>
        <w:gridCol w:w="2000"/>
        <w:gridCol w:w="1620"/>
      </w:tblGrid>
      <w:tr>
        <w:trPr>
          <w:tblHeader/>
        </w:trPr>
        <w:tc>
          <w:tcPr>
            <w:tcW w:type="dxa" w:w="2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LOHS Pillar</w:t>
            </w:r>
          </w:p>
        </w:tc>
        <w:tc>
          <w:tcPr>
            <w:tcW w:type="dxa" w:w="15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Weight (Healthcare)</w:t>
            </w:r>
          </w:p>
        </w:tc>
        <w:tc>
          <w:tcPr>
            <w:tcW w:type="dxa" w:w="21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Weight (Consumer/Retail)</w:t>
            </w:r>
          </w:p>
        </w:tc>
        <w:tc>
          <w:tcPr>
            <w:tcW w:type="dxa" w:w="20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Weight (Construction)</w:t>
            </w:r>
          </w:p>
        </w:tc>
        <w:tc>
          <w:tcPr>
            <w:tcW w:type="dxa" w:w="162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Weight (Financial Services)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POA Register Completeness &amp; Validity</w:t>
            </w:r>
          </w:p>
        </w:tc>
        <w:tc>
          <w:tcPr>
            <w:tcW w:type="dxa" w:w="1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15%</w:t>
            </w:r>
          </w:p>
        </w:tc>
        <w:tc>
          <w:tcPr>
            <w:tcW w:type="dxa" w:w="21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20%</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25%</w:t>
            </w:r>
          </w:p>
        </w:tc>
        <w:tc>
          <w:tcPr>
            <w:tcW w:type="dxa" w:w="16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20%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IP Coverage &amp; Renewal Health</w:t>
            </w:r>
          </w:p>
        </w:tc>
        <w:tc>
          <w:tcPr>
            <w:tcW w:type="dxa" w:w="1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10%</w:t>
            </w:r>
          </w:p>
        </w:tc>
        <w:tc>
          <w:tcPr>
            <w:tcW w:type="dxa" w:w="2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35%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10%</w:t>
            </w:r>
          </w:p>
        </w:tc>
        <w:tc>
          <w:tcPr>
            <w:tcW w:type="dxa" w:w="16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15%</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Licence Inventory Completeness</w:t>
            </w:r>
          </w:p>
        </w:tc>
        <w:tc>
          <w:tcPr>
            <w:tcW w:type="dxa" w:w="1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40%</w:t>
            </w:r>
          </w:p>
        </w:tc>
        <w:tc>
          <w:tcPr>
            <w:tcW w:type="dxa" w:w="21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20%</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35%</w:t>
            </w:r>
          </w:p>
        </w:tc>
        <w:tc>
          <w:tcPr>
            <w:tcW w:type="dxa" w:w="16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25%</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Licence Renewal Timeliness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25%</w:t>
            </w:r>
          </w:p>
        </w:tc>
        <w:tc>
          <w:tcPr>
            <w:tcW w:type="dxa" w:w="2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15%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20%</w:t>
            </w:r>
          </w:p>
        </w:tc>
        <w:tc>
          <w:tcPr>
            <w:tcW w:type="dxa" w:w="162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25%</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Litigation Register Currency</w:t>
            </w:r>
          </w:p>
        </w:tc>
        <w:tc>
          <w:tcPr>
            <w:tcW w:type="dxa" w:w="1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10%</w:t>
            </w:r>
          </w:p>
        </w:tc>
        <w:tc>
          <w:tcPr>
            <w:tcW w:type="dxa" w:w="21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10%</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10%</w:t>
            </w:r>
          </w:p>
        </w:tc>
        <w:tc>
          <w:tcPr>
            <w:tcW w:type="dxa" w:w="162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15%</w:t>
            </w:r>
          </w:p>
        </w:tc>
      </w:tr>
    </w:tbl>
    <w:p>
      <w:pPr>
        <w:spacing w:after="80"/>
      </w:pPr>
      <w:r>
        <w:rPr>
          <w:rFonts w:ascii="Arial" w:cs="Arial" w:eastAsia="Arial" w:hAnsi="Arial"/>
          <w:sz w:val="20"/>
          <w:szCs w:val="20"/>
        </w:rPr>
        <w:t xml:space="preserve"/>
      </w:r>
    </w:p>
    <w:p>
      <w:pPr>
        <w:pStyle w:val="Heading3"/>
        <w:spacing w:before="200" w:after="80"/>
      </w:pPr>
      <w:r>
        <w:rPr>
          <w:rFonts w:ascii="Arial" w:cs="Arial" w:eastAsia="Arial" w:hAnsi="Arial"/>
          <w:b/>
          <w:bCs/>
          <w:color w:val="1E293B"/>
          <w:sz w:val="22"/>
          <w:szCs w:val="22"/>
        </w:rPr>
        <w:t xml:space="preserve">Phase 3 — Delivery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600"/>
        <w:gridCol w:w="3360"/>
      </w:tblGrid>
      <w:tr>
        <w:trPr>
          <w:tblHeader/>
        </w:trPr>
        <w:tc>
          <w:tcPr>
            <w:tcW w:type="dxa" w:w="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Wk</w:t>
            </w:r>
          </w:p>
        </w:tc>
        <w:tc>
          <w:tcPr>
            <w:tcW w:type="dxa" w:w="16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Milestone</w:t>
            </w:r>
          </w:p>
        </w:tc>
        <w:tc>
          <w:tcPr>
            <w:tcW w:type="dxa" w:w="36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Deliverable</w:t>
            </w:r>
          </w:p>
        </w:tc>
        <w:tc>
          <w:tcPr>
            <w:tcW w:type="dxa" w:w="336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Success Criterion</w:t>
            </w:r>
          </w:p>
        </w:tc>
      </w:tr>
      <w:tr>
        <w:tc>
          <w:tcPr>
            <w:tcW w:type="dxa" w:w="800"/>
            <w:tcBorders>
              <w:top w:val="single" w:color="6D28D9" w:sz="1"/>
              <w:left w:val="single" w:color="6D28D9" w:sz="1"/>
              <w:bottom w:val="single" w:color="6D28D9" w:sz="1"/>
              <w:right w:val="single" w:color="6D28D9" w:sz="1"/>
            </w:tcBorders>
            <w:shd w:fill="6D28D9"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13–14</w:t>
            </w:r>
          </w:p>
        </w:tc>
        <w:tc>
          <w:tcPr>
            <w:tcW w:type="dxa" w:w="1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Litigation Register</w:t>
            </w:r>
          </w:p>
        </w:tc>
        <w:tc>
          <w:tcPr>
            <w:tcW w:type="dxa" w:w="3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Case register live. Exposure tracking. Hearing calendar. Document repository with privilege tagging. Counsel management.</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All active cases for pilot customers imported. Weighted exposure visible in 48 hours of import.</w:t>
            </w:r>
          </w:p>
        </w:tc>
      </w:tr>
      <w:tr>
        <w:tc>
          <w:tcPr>
            <w:tcW w:type="dxa" w:w="800"/>
            <w:tcBorders>
              <w:top w:val="single" w:color="6D28D9" w:sz="1"/>
              <w:left w:val="single" w:color="6D28D9" w:sz="1"/>
              <w:bottom w:val="single" w:color="6D28D9" w:sz="1"/>
              <w:right w:val="single" w:color="6D28D9" w:sz="1"/>
            </w:tcBorders>
            <w:shd w:fill="6D28D9"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15</w:t>
            </w:r>
          </w:p>
        </w:tc>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Cascade Simulation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Dependency graph simulation activated. "What-if" query interface for COO. Cascade impact report generated automatically on any licence nearing expiry.</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COO can run cascade simulation and get impact report within 30 seconds.</w:t>
            </w:r>
          </w:p>
        </w:tc>
      </w:tr>
      <w:tr>
        <w:tc>
          <w:tcPr>
            <w:tcW w:type="dxa" w:w="800"/>
            <w:tcBorders>
              <w:top w:val="single" w:color="6D28D9" w:sz="1"/>
              <w:left w:val="single" w:color="6D28D9" w:sz="1"/>
              <w:bottom w:val="single" w:color="6D28D9" w:sz="1"/>
              <w:right w:val="single" w:color="6D28D9" w:sz="1"/>
            </w:tcBorders>
            <w:shd w:fill="6D28D9"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16</w:t>
            </w:r>
          </w:p>
        </w:tc>
        <w:tc>
          <w:tcPr>
            <w:tcW w:type="dxa" w:w="1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CFO View</w:t>
            </w:r>
          </w:p>
        </w:tc>
        <w:tc>
          <w:tcPr>
            <w:tcW w:type="dxa" w:w="3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Financial metrics dashboard: weighted litigation exposure, IP renewal capex, licence renewal opex, cascade risk exposure. M&amp;A cost model (basic).</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CFO can produce a compliance cost summary for board without involving legal team.</w:t>
            </w:r>
          </w:p>
        </w:tc>
      </w:tr>
      <w:tr>
        <w:tc>
          <w:tcPr>
            <w:tcW w:type="dxa" w:w="800"/>
            <w:tcBorders>
              <w:top w:val="single" w:color="6D28D9" w:sz="1"/>
              <w:left w:val="single" w:color="6D28D9" w:sz="1"/>
              <w:bottom w:val="single" w:color="6D28D9" w:sz="1"/>
              <w:right w:val="single" w:color="6D28D9" w:sz="1"/>
            </w:tcBorders>
            <w:shd w:fill="6D28D9"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17</w:t>
            </w:r>
          </w:p>
        </w:tc>
        <w:tc>
          <w:tcPr>
            <w:tcW w:type="dxa" w:w="1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LOHS Design + GCS Architecture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Legal Operations Health Score architecture designed. Sector weighting tables built. LOHS visible as companion score to GCS on Parent Holding Overview.</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LOHS correctly scores at least 2 pilot customers with validated sector weights.</w:t>
            </w:r>
          </w:p>
        </w:tc>
      </w:tr>
      <w:tr>
        <w:tc>
          <w:tcPr>
            <w:tcW w:type="dxa" w:w="800"/>
            <w:tcBorders>
              <w:top w:val="single" w:color="6D28D9" w:sz="1"/>
              <w:left w:val="single" w:color="6D28D9" w:sz="1"/>
              <w:bottom w:val="single" w:color="6D28D9" w:sz="1"/>
              <w:right w:val="single" w:color="6D28D9" w:sz="1"/>
            </w:tcBorders>
            <w:shd w:fill="6D28D9"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18</w:t>
            </w:r>
          </w:p>
        </w:tc>
        <w:tc>
          <w:tcPr>
            <w:tcW w:type="dxa" w:w="1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Board Pack + Full Integration</w:t>
            </w:r>
          </w:p>
        </w:tc>
        <w:tc>
          <w:tcPr>
            <w:tcW w:type="dxa" w:w="36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Auto-generated monthly board compliance pack: GCS + LOHS + litigation exposure + renewal calendar + critical items. All 4 domains integrated.</w:t>
            </w:r>
          </w:p>
        </w:tc>
        <w:tc>
          <w:tcPr>
            <w:tcW w:type="dxa" w:w="336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Board pack generated for pilot customer passes review by General Counsel without manual edits.</w:t>
            </w:r>
          </w:p>
        </w:tc>
      </w:tr>
    </w:tbl>
    <w:p>
      <w:pPr>
        <w:spacing w:after="200"/>
      </w:pPr>
      <w:r>
        <w:rPr>
          <w:rFonts w:ascii="Arial" w:cs="Arial" w:eastAsia="Arial" w:hAnsi="Arial"/>
          <w:sz w:val="20"/>
          <w:szCs w:val="20"/>
        </w:rPr>
        <w:t xml:space="preserve"/>
      </w:r>
    </w:p>
    <w:p>
      <w:pPr>
        <w:pBdr>
          <w:bottom w:val="single" w:color="E2E8F0" w:sz="4" w:space="1"/>
        </w:pBd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A1628" w:val="clear"/>
            <w:tcMar>
              <w:top w:type="dxa" w:w="80"/>
              <w:left w:type="dxa" w:w="130"/>
              <w:bottom w:type="dxa" w:w="80"/>
              <w:right w:type="dxa" w:w="130"/>
            </w:tcMar>
            <w:vAlign w:val="top"/>
          </w:tcPr>
          <w:p>
            <w:pPr>
              <w:jc w:val="center"/>
            </w:pPr>
            <w:r>
              <w:rPr>
                <w:rFonts w:ascii="Arial" w:cs="Arial" w:eastAsia="Arial" w:hAnsi="Arial"/>
                <w:b/>
                <w:bCs/>
                <w:color w:val="FFFFFF"/>
                <w:sz w:val="22"/>
                <w:szCs w:val="22"/>
              </w:rPr>
              <w:t xml:space="preserve">07</w:t>
            </w:r>
          </w:p>
        </w:tc>
        <w:tc>
          <w:tcPr>
            <w:tcW w:type="dxa" w:w="8460"/>
            <w:tcBorders>
              <w:top w:val="none" w:color="FFFFFF" w:sz="0"/>
              <w:left w:val="none" w:color="FFFFFF" w:sz="0"/>
              <w:bottom w:val="none" w:color="FFFFFF" w:sz="0"/>
              <w:right w:val="none" w:color="FFFFFF" w:sz="0"/>
            </w:tcBorders>
            <w:shd w:fill="1A4DB5" w:val="clear"/>
            <w:tcMar>
              <w:top w:type="dxa" w:w="80"/>
              <w:left w:type="dxa" w:w="130"/>
              <w:bottom w:type="dxa" w:w="80"/>
              <w:right w:type="dxa" w:w="130"/>
            </w:tcMar>
            <w:vAlign w:val="top"/>
          </w:tcPr>
          <w:p>
            <w:r>
              <w:rPr>
                <w:rFonts w:ascii="Arial" w:cs="Arial" w:eastAsia="Arial" w:hAnsi="Arial"/>
                <w:b/>
                <w:bCs/>
                <w:color w:val="FFFFFF"/>
                <w:sz w:val="22"/>
                <w:szCs w:val="22"/>
              </w:rPr>
              <w:t xml:space="preserve">Post-Ingestion Intelligence — What Happens After Data Enters</w:t>
            </w:r>
          </w:p>
        </w:tc>
      </w:tr>
    </w:tbl>
    <w:p>
      <w:pPr>
        <w:spacing w:after="80"/>
      </w:pPr>
      <w:r>
        <w:rPr>
          <w:rFonts w:ascii="Arial" w:cs="Arial" w:eastAsia="Arial" w:hAnsi="Arial"/>
          <w:sz w:val="20"/>
          <w:szCs w:val="20"/>
        </w:rPr>
        <w:t xml:space="preserve"/>
      </w:r>
    </w:p>
    <w:p>
      <w:pPr>
        <w:spacing w:after="110"/>
      </w:pPr>
      <w:r>
        <w:rPr>
          <w:rFonts w:ascii="Arial" w:cs="Arial" w:eastAsia="Arial" w:hAnsi="Arial"/>
          <w:color w:val="1E293B"/>
          <w:sz w:val="20"/>
          <w:szCs w:val="20"/>
        </w:rPr>
        <w:t xml:space="preserve">The value of the platform is not in storing records. It is in what the platform does with records once they exist. Every record that enters the system activates a set of autonomous processes that run continuously without any user action. This section defines those processes across all four domains.</w:t>
      </w:r>
    </w:p>
    <w:p>
      <w:pPr>
        <w:spacing w:after="6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2500"/>
        <w:gridCol w:w="4740"/>
      </w:tblGrid>
      <w:tr>
        <w:trPr>
          <w:tblHeader/>
        </w:trPr>
        <w:tc>
          <w:tcPr>
            <w:tcW w:type="dxa" w:w="48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
            </w:r>
          </w:p>
        </w:tc>
        <w:tc>
          <w:tcPr>
            <w:tcW w:type="dxa" w:w="20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Process</w:t>
            </w:r>
          </w:p>
        </w:tc>
        <w:tc>
          <w:tcPr>
            <w:tcW w:type="dxa" w:w="25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Trigger</w:t>
            </w:r>
          </w:p>
        </w:tc>
        <w:tc>
          <w:tcPr>
            <w:tcW w:type="dxa" w:w="474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pPr>
              <w:spacing w:after="100"/>
            </w:pPr>
            <w:r>
              <w:rPr>
                <w:rFonts w:ascii="Arial" w:cs="Arial" w:eastAsia="Arial" w:hAnsi="Arial"/>
                <w:b/>
                <w:bCs/>
                <w:color w:val="FFFFFF"/>
                <w:sz w:val="17"/>
                <w:szCs w:val="17"/>
              </w:rPr>
              <w:t xml:space="preserve">Output</w:t>
            </w:r>
          </w:p>
        </w:tc>
      </w:tr>
      <w:tr>
        <w:tc>
          <w:tcPr>
            <w:tcW w:type="dxa" w:w="480"/>
            <w:tcBorders>
              <w:top w:val="single" w:color="E2E8F0" w:sz="1"/>
              <w:left w:val="single" w:color="E2E8F0" w:sz="1"/>
              <w:bottom w:val="single" w:color="E2E8F0" w:sz="1"/>
              <w:right w:val="single" w:color="E2E8F0" w:sz="1"/>
            </w:tcBorders>
            <w:shd w:fill="1A4DB5" w:val="clear"/>
            <w:tcMar>
              <w:top w:type="dxa" w:w="80"/>
              <w:left w:type="dxa" w:w="130"/>
              <w:bottom w:type="dxa" w:w="80"/>
              <w:right w:type="dxa" w:w="130"/>
            </w:tcMar>
            <w:vAlign w:val="top"/>
          </w:tcPr>
          <w:p>
            <w:pPr>
              <w:spacing w:after="100"/>
            </w:pPr>
            <w:r>
              <w:rPr>
                <w:rFonts w:ascii="Arial" w:cs="Arial" w:eastAsia="Arial" w:hAnsi="Arial"/>
                <w:b/>
                <w:bCs/>
                <w:color w:val="FFFFFF"/>
                <w:sz w:val="16"/>
                <w:szCs w:val="16"/>
              </w:rPr>
              <w:t xml:space="preserve">I1</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Expiry Monitoring</w:t>
            </w:r>
          </w:p>
        </w:tc>
        <w:tc>
          <w:tcPr>
            <w:tcW w:type="dxa" w:w="2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Runs daily at 06:00. Evaluates every record with an expiry date.</w:t>
            </w:r>
          </w:p>
        </w:tc>
        <w:tc>
          <w:tcPr>
            <w:tcW w:type="dxa" w:w="474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Alert queue updated. Role-appropriate notifications dispatched: Legal PA (task), Head of Legal (summary), COO (operational risk items only).</w:t>
            </w:r>
          </w:p>
        </w:tc>
      </w:tr>
      <w:tr>
        <w:tc>
          <w:tcPr>
            <w:tcW w:type="dxa" w:w="480"/>
            <w:tcBorders>
              <w:top w:val="single" w:color="E2E8F0" w:sz="1"/>
              <w:left w:val="single" w:color="E2E8F0" w:sz="1"/>
              <w:bottom w:val="single" w:color="E2E8F0" w:sz="1"/>
              <w:right w:val="single" w:color="E2E8F0" w:sz="1"/>
            </w:tcBorders>
            <w:shd w:fill="0D7377" w:val="clear"/>
            <w:tcMar>
              <w:top w:type="dxa" w:w="80"/>
              <w:left w:type="dxa" w:w="130"/>
              <w:bottom w:type="dxa" w:w="80"/>
              <w:right w:type="dxa" w:w="130"/>
            </w:tcMar>
            <w:vAlign w:val="top"/>
          </w:tcPr>
          <w:p>
            <w:pPr>
              <w:spacing w:after="100"/>
            </w:pPr>
            <w:r>
              <w:rPr>
                <w:rFonts w:ascii="Arial" w:cs="Arial" w:eastAsia="Arial" w:hAnsi="Arial"/>
                <w:b/>
                <w:bCs/>
                <w:color w:val="FFFFFF"/>
                <w:sz w:val="16"/>
                <w:szCs w:val="16"/>
              </w:rPr>
              <w:t xml:space="preserve">I2</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Cross-Reference Validation</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Runs on every new or updated record. Compares against: OpCo register, UBO register, employee list (when integrated), existing same-domain records.</w:t>
            </w:r>
          </w:p>
        </w:tc>
        <w:tc>
          <w:tcPr>
            <w:tcW w:type="dxa" w:w="474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Discrepancies surfaced as warnings. Not blocks — the user is informed, not prevented. All warnings logged in change history.</w:t>
            </w:r>
          </w:p>
        </w:tc>
      </w:tr>
      <w:tr>
        <w:tc>
          <w:tcPr>
            <w:tcW w:type="dxa" w:w="480"/>
            <w:tcBorders>
              <w:top w:val="single" w:color="E2E8F0" w:sz="1"/>
              <w:left w:val="single" w:color="E2E8F0" w:sz="1"/>
              <w:bottom w:val="single" w:color="E2E8F0" w:sz="1"/>
              <w:right w:val="single" w:color="E2E8F0" w:sz="1"/>
            </w:tcBorders>
            <w:shd w:fill="1A4DB5" w:val="clear"/>
            <w:tcMar>
              <w:top w:type="dxa" w:w="80"/>
              <w:left w:type="dxa" w:w="130"/>
              <w:bottom w:type="dxa" w:w="80"/>
              <w:right w:type="dxa" w:w="130"/>
            </w:tcMar>
            <w:vAlign w:val="top"/>
          </w:tcPr>
          <w:p>
            <w:pPr>
              <w:spacing w:after="100"/>
            </w:pPr>
            <w:r>
              <w:rPr>
                <w:rFonts w:ascii="Arial" w:cs="Arial" w:eastAsia="Arial" w:hAnsi="Arial"/>
                <w:b/>
                <w:bCs/>
                <w:color w:val="FFFFFF"/>
                <w:sz w:val="16"/>
                <w:szCs w:val="16"/>
              </w:rPr>
              <w:t xml:space="preserve">I3</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Coverage Gap Detection</w:t>
            </w:r>
          </w:p>
        </w:tc>
        <w:tc>
          <w:tcPr>
            <w:tcW w:type="dxa" w:w="2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Runs on IP domain: nightly. Compares registered IP portfolio against active OpCo jurisdictions.</w:t>
            </w:r>
          </w:p>
        </w:tc>
        <w:tc>
          <w:tcPr>
            <w:tcW w:type="dxa" w:w="474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Gap alerts created for missing jurisdiction coverage. Severity weighted by whether gap jurisdiction is a primary revenue market.</w:t>
            </w:r>
          </w:p>
        </w:tc>
      </w:tr>
      <w:tr>
        <w:tc>
          <w:tcPr>
            <w:tcW w:type="dxa" w:w="480"/>
            <w:tcBorders>
              <w:top w:val="single" w:color="E2E8F0" w:sz="1"/>
              <w:left w:val="single" w:color="E2E8F0" w:sz="1"/>
              <w:bottom w:val="single" w:color="E2E8F0" w:sz="1"/>
              <w:right w:val="single" w:color="E2E8F0" w:sz="1"/>
            </w:tcBorders>
            <w:shd w:fill="0D7377" w:val="clear"/>
            <w:tcMar>
              <w:top w:type="dxa" w:w="80"/>
              <w:left w:type="dxa" w:w="130"/>
              <w:bottom w:type="dxa" w:w="80"/>
              <w:right w:type="dxa" w:w="130"/>
            </w:tcMar>
            <w:vAlign w:val="top"/>
          </w:tcPr>
          <w:p>
            <w:pPr>
              <w:spacing w:after="100"/>
            </w:pPr>
            <w:r>
              <w:rPr>
                <w:rFonts w:ascii="Arial" w:cs="Arial" w:eastAsia="Arial" w:hAnsi="Arial"/>
                <w:b/>
                <w:bCs/>
                <w:color w:val="FFFFFF"/>
                <w:sz w:val="16"/>
                <w:szCs w:val="16"/>
              </w:rPr>
              <w:t xml:space="preserve">I4</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Cascade Risk Assessment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Runs on Licence domain (Phase 3): daily. Evaluates dependency graph for any licence nearing expiry.</w:t>
            </w:r>
          </w:p>
        </w:tc>
        <w:tc>
          <w:tcPr>
            <w:tcW w:type="dxa" w:w="474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Cascade impact preview surfaced on licence record 60 days before expiry. Full simulation report generated at 30 days.</w:t>
            </w:r>
          </w:p>
        </w:tc>
      </w:tr>
      <w:tr>
        <w:tc>
          <w:tcPr>
            <w:tcW w:type="dxa" w:w="480"/>
            <w:tcBorders>
              <w:top w:val="single" w:color="E2E8F0" w:sz="1"/>
              <w:left w:val="single" w:color="E2E8F0" w:sz="1"/>
              <w:bottom w:val="single" w:color="E2E8F0" w:sz="1"/>
              <w:right w:val="single" w:color="E2E8F0" w:sz="1"/>
            </w:tcBorders>
            <w:shd w:fill="1A4DB5" w:val="clear"/>
            <w:tcMar>
              <w:top w:type="dxa" w:w="80"/>
              <w:left w:type="dxa" w:w="130"/>
              <w:bottom w:type="dxa" w:w="80"/>
              <w:right w:type="dxa" w:w="130"/>
            </w:tcMar>
            <w:vAlign w:val="top"/>
          </w:tcPr>
          <w:p>
            <w:pPr>
              <w:spacing w:after="100"/>
            </w:pPr>
            <w:r>
              <w:rPr>
                <w:rFonts w:ascii="Arial" w:cs="Arial" w:eastAsia="Arial" w:hAnsi="Arial"/>
                <w:b/>
                <w:bCs/>
                <w:color w:val="FFFFFF"/>
                <w:sz w:val="16"/>
                <w:szCs w:val="16"/>
              </w:rPr>
              <w:t xml:space="preserve">I5</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Regulatory Link Check</w:t>
            </w:r>
          </w:p>
        </w:tc>
        <w:tc>
          <w:tcPr>
            <w:tcW w:type="dxa" w:w="2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Runs on Licence domain: when GRC regulatory change detected. Checks whether the change affects the governing framework of any active licence.</w:t>
            </w:r>
          </w:p>
        </w:tc>
        <w:tc>
          <w:tcPr>
            <w:tcW w:type="dxa" w:w="474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If a regulatory change touches a framework that governs an active licence, alert surfaced to responsible officer and Head of Compliance.</w:t>
            </w:r>
          </w:p>
        </w:tc>
      </w:tr>
      <w:tr>
        <w:tc>
          <w:tcPr>
            <w:tcW w:type="dxa" w:w="480"/>
            <w:tcBorders>
              <w:top w:val="single" w:color="E2E8F0" w:sz="1"/>
              <w:left w:val="single" w:color="E2E8F0" w:sz="1"/>
              <w:bottom w:val="single" w:color="E2E8F0" w:sz="1"/>
              <w:right w:val="single" w:color="E2E8F0" w:sz="1"/>
            </w:tcBorders>
            <w:shd w:fill="0D7377" w:val="clear"/>
            <w:tcMar>
              <w:top w:type="dxa" w:w="80"/>
              <w:left w:type="dxa" w:w="130"/>
              <w:bottom w:type="dxa" w:w="80"/>
              <w:right w:type="dxa" w:w="130"/>
            </w:tcMar>
            <w:vAlign w:val="top"/>
          </w:tcPr>
          <w:p>
            <w:pPr>
              <w:spacing w:after="100"/>
            </w:pPr>
            <w:r>
              <w:rPr>
                <w:rFonts w:ascii="Arial" w:cs="Arial" w:eastAsia="Arial" w:hAnsi="Arial"/>
                <w:b/>
                <w:bCs/>
                <w:color w:val="FFFFFF"/>
                <w:sz w:val="16"/>
                <w:szCs w:val="16"/>
              </w:rPr>
              <w:t xml:space="preserve">I6</w:t>
            </w:r>
          </w:p>
        </w:tc>
        <w:tc>
          <w:tcPr>
            <w:tcW w:type="dxa" w:w="20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Financial Exposure Refresh</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after="100"/>
            </w:pPr>
            <w:r>
              <w:rPr>
                <w:rFonts w:ascii="Arial" w:cs="Arial" w:eastAsia="Arial" w:hAnsi="Arial"/>
                <w:sz w:val="17"/>
                <w:szCs w:val="17"/>
              </w:rPr>
              <w:t xml:space="preserve">Runs on Litigation domain (Phase 3): when any case status changes, or weekly for unchanged cases.</w:t>
            </w:r>
          </w:p>
        </w:tc>
        <w:tc>
          <w:tcPr>
            <w:tcW w:type="dxa" w:w="474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Weighted exposure recalculated. CFO dashboard updated. If total exposure crosses configurable threshold, escalation alert generated.</w:t>
            </w:r>
          </w:p>
        </w:tc>
      </w:tr>
      <w:tr>
        <w:tc>
          <w:tcPr>
            <w:tcW w:type="dxa" w:w="480"/>
            <w:tcBorders>
              <w:top w:val="single" w:color="E2E8F0" w:sz="1"/>
              <w:left w:val="single" w:color="E2E8F0" w:sz="1"/>
              <w:bottom w:val="single" w:color="E2E8F0" w:sz="1"/>
              <w:right w:val="single" w:color="E2E8F0" w:sz="1"/>
            </w:tcBorders>
            <w:shd w:fill="1A4DB5" w:val="clear"/>
            <w:tcMar>
              <w:top w:type="dxa" w:w="80"/>
              <w:left w:type="dxa" w:w="130"/>
              <w:bottom w:type="dxa" w:w="80"/>
              <w:right w:type="dxa" w:w="130"/>
            </w:tcMar>
            <w:vAlign w:val="top"/>
          </w:tcPr>
          <w:p>
            <w:pPr>
              <w:spacing w:after="100"/>
            </w:pPr>
            <w:r>
              <w:rPr>
                <w:rFonts w:ascii="Arial" w:cs="Arial" w:eastAsia="Arial" w:hAnsi="Arial"/>
                <w:b/>
                <w:bCs/>
                <w:color w:val="FFFFFF"/>
                <w:sz w:val="16"/>
                <w:szCs w:val="16"/>
              </w:rPr>
              <w:t xml:space="preserve">I7</w:t>
            </w:r>
          </w:p>
        </w:tc>
        <w:tc>
          <w:tcPr>
            <w:tcW w:type="dxa" w:w="20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b/>
                <w:bCs/>
                <w:sz w:val="17"/>
                <w:szCs w:val="17"/>
              </w:rPr>
              <w:t xml:space="preserve">Board Pack Assembly</w:t>
            </w:r>
          </w:p>
        </w:tc>
        <w:tc>
          <w:tcPr>
            <w:tcW w:type="dxa" w:w="2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pPr>
              <w:spacing w:after="100"/>
            </w:pPr>
            <w:r>
              <w:rPr>
                <w:rFonts w:ascii="Arial" w:cs="Arial" w:eastAsia="Arial" w:hAnsi="Arial"/>
                <w:sz w:val="17"/>
                <w:szCs w:val="17"/>
              </w:rPr>
              <w:t xml:space="preserve">Runs monthly on configured date. Assembles all domain health summaries into a single board-ready report.</w:t>
            </w:r>
          </w:p>
        </w:tc>
        <w:tc>
          <w:tcPr>
            <w:tcW w:type="dxa" w:w="4740"/>
            <w:tcBorders>
              <w:top w:val="single" w:color="E2E8F0" w:sz="1"/>
              <w:left w:val="single" w:color="E2E8F0" w:sz="1"/>
              <w:bottom w:val="single" w:color="E2E8F0" w:sz="1"/>
              <w:right w:val="single" w:color="E2E8F0" w:sz="1"/>
            </w:tcBorders>
            <w:tcMar>
              <w:top w:type="dxa" w:w="80"/>
              <w:left w:type="dxa" w:w="130"/>
              <w:bottom w:type="dxa" w:w="80"/>
              <w:right w:type="dxa" w:w="130"/>
            </w:tcMar>
            <w:vAlign w:val="top"/>
          </w:tcPr>
          <w:p>
            <w:pPr>
              <w:spacing w:after="100"/>
            </w:pPr>
            <w:r>
              <w:rPr>
                <w:rFonts w:ascii="Arial" w:cs="Arial" w:eastAsia="Arial" w:hAnsi="Arial"/>
                <w:sz w:val="17"/>
                <w:szCs w:val="17"/>
              </w:rPr>
              <w:t xml:space="preserve">PDF report generated and sent to configured distribution list. Includes GCS, LOHS (Phase 3), critical items, expiry calendar, exposure summary.</w:t>
            </w:r>
          </w:p>
        </w:tc>
      </w:tr>
    </w:tbl>
    <w:p>
      <w:pPr>
        <w:spacing w:after="200"/>
      </w:pPr>
      <w:r>
        <w:rPr>
          <w:rFonts w:ascii="Arial" w:cs="Arial" w:eastAsia="Arial" w:hAnsi="Arial"/>
          <w:sz w:val="20"/>
          <w:szCs w:val="20"/>
        </w:rPr>
        <w:t xml:space="preserve"/>
      </w:r>
    </w:p>
    <w:p>
      <w:pPr>
        <w:pBdr>
          <w:bottom w:val="single" w:color="E2E8F0" w:sz="4" w:space="1"/>
        </w:pBd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A1628" w:val="clear"/>
            <w:tcMar>
              <w:top w:type="dxa" w:w="80"/>
              <w:left w:type="dxa" w:w="130"/>
              <w:bottom w:type="dxa" w:w="80"/>
              <w:right w:type="dxa" w:w="130"/>
            </w:tcMar>
            <w:vAlign w:val="top"/>
          </w:tcPr>
          <w:p>
            <w:pPr>
              <w:jc w:val="center"/>
            </w:pPr>
            <w:r>
              <w:rPr>
                <w:rFonts w:ascii="Arial" w:cs="Arial" w:eastAsia="Arial" w:hAnsi="Arial"/>
                <w:b/>
                <w:bCs/>
                <w:color w:val="FFFFFF"/>
                <w:sz w:val="22"/>
                <w:szCs w:val="22"/>
              </w:rPr>
              <w:t xml:space="preserve">08</w:t>
            </w:r>
          </w:p>
        </w:tc>
        <w:tc>
          <w:tcPr>
            <w:tcW w:type="dxa" w:w="8460"/>
            <w:tcBorders>
              <w:top w:val="none" w:color="FFFFFF" w:sz="0"/>
              <w:left w:val="none" w:color="FFFFFF" w:sz="0"/>
              <w:bottom w:val="none" w:color="FFFFFF" w:sz="0"/>
              <w:right w:val="none" w:color="FFFFFF" w:sz="0"/>
            </w:tcBorders>
            <w:shd w:fill="1A4DB5" w:val="clear"/>
            <w:tcMar>
              <w:top w:type="dxa" w:w="80"/>
              <w:left w:type="dxa" w:w="130"/>
              <w:bottom w:type="dxa" w:w="80"/>
              <w:right w:type="dxa" w:w="130"/>
            </w:tcMar>
            <w:vAlign w:val="top"/>
          </w:tcPr>
          <w:p>
            <w:r>
              <w:rPr>
                <w:rFonts w:ascii="Arial" w:cs="Arial" w:eastAsia="Arial" w:hAnsi="Arial"/>
                <w:b/>
                <w:bCs/>
                <w:color w:val="FFFFFF"/>
                <w:sz w:val="22"/>
                <w:szCs w:val="22"/>
              </w:rPr>
              <w:t xml:space="preserve">Data Model &amp; Technical Architecture Overview</w:t>
            </w:r>
          </w:p>
        </w:tc>
      </w:tr>
    </w:tbl>
    <w:p>
      <w:pPr>
        <w:spacing w:after="80"/>
      </w:pPr>
      <w:r>
        <w:rPr>
          <w:rFonts w:ascii="Arial" w:cs="Arial" w:eastAsia="Arial" w:hAnsi="Arial"/>
          <w:sz w:val="20"/>
          <w:szCs w:val="20"/>
        </w:rPr>
        <w:t xml:space="preserve"/>
      </w:r>
    </w:p>
    <w:p>
      <w:pPr>
        <w:spacing w:after="110"/>
      </w:pPr>
      <w:r>
        <w:rPr>
          <w:rFonts w:ascii="Arial" w:cs="Arial" w:eastAsia="Arial" w:hAnsi="Arial"/>
          <w:color w:val="1E293B"/>
          <w:sz w:val="20"/>
          <w:szCs w:val="20"/>
        </w:rPr>
        <w:t xml:space="preserve">The four legal asset domains share a common database schema pattern. Each domain has a primary record table, a document store link table, an event/change log table, and a relationships table (for cross-domain links). This structure allows any record to reference any other record across domains, which is essential for the cascade dependency model and the M&amp;A integration analysis.</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60"/>
              <w:left w:type="dxa" w:w="240"/>
              <w:bottom w:type="dxa" w:w="160"/>
              <w:right w:type="dxa" w:w="240"/>
            </w:tcMar>
          </w:tcPr>
          <w:p>
            <w:pPr>
              <w:spacing w:after="20"/>
            </w:pPr>
            <w:r>
              <w:rPr>
                <w:rFonts w:ascii="Courier New" w:cs="Courier New" w:eastAsia="Courier New" w:hAnsi="Courier New"/>
                <w:color w:val="7BA3D4"/>
                <w:sz w:val="16"/>
                <w:szCs w:val="16"/>
              </w:rPr>
              <w:t xml:space="preserve">// Core schema pattern — repeated for each domain</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7BA3D4"/>
                <w:sz w:val="16"/>
                <w:szCs w:val="16"/>
              </w:rPr>
              <w:t xml:space="preserve">// Primary record table (example: poa_register)</w:t>
            </w:r>
          </w:p>
          <w:p>
            <w:pPr>
              <w:spacing w:after="20"/>
            </w:pPr>
            <w:r>
              <w:rPr>
                <w:rFonts w:ascii="Courier New" w:cs="Courier New" w:eastAsia="Courier New" w:hAnsi="Courier New"/>
                <w:color w:val="E2E8F0"/>
                <w:sz w:val="16"/>
                <w:szCs w:val="16"/>
              </w:rPr>
              <w:t xml:space="preserve">poa_register: {</w:t>
            </w:r>
          </w:p>
          <w:p>
            <w:pPr>
              <w:spacing w:after="20"/>
            </w:pPr>
            <w:r>
              <w:rPr>
                <w:rFonts w:ascii="Courier New" w:cs="Courier New" w:eastAsia="Courier New" w:hAnsi="Courier New"/>
                <w:color w:val="E2E8F0"/>
                <w:sz w:val="16"/>
                <w:szCs w:val="16"/>
              </w:rPr>
              <w:t xml:space="preserve">  id UUID PRIMARY KEY,</w:t>
            </w:r>
          </w:p>
          <w:p>
            <w:pPr>
              <w:spacing w:after="20"/>
            </w:pPr>
            <w:r>
              <w:rPr>
                <w:rFonts w:ascii="Courier New" w:cs="Courier New" w:eastAsia="Courier New" w:hAnsi="Courier New"/>
                <w:color w:val="E2E8F0"/>
                <w:sz w:val="16"/>
                <w:szCs w:val="16"/>
              </w:rPr>
              <w:t xml:space="preserve">  parent_holding_id UUID → parent_holdings,</w:t>
            </w:r>
          </w:p>
          <w:p>
            <w:pPr>
              <w:spacing w:after="20"/>
            </w:pPr>
            <w:r>
              <w:rPr>
                <w:rFonts w:ascii="Courier New" w:cs="Courier New" w:eastAsia="Courier New" w:hAnsi="Courier New"/>
                <w:color w:val="E2E8F0"/>
                <w:sz w:val="16"/>
                <w:szCs w:val="16"/>
              </w:rPr>
              <w:t xml:space="preserve">  opco_id UUID → opcos,</w:t>
            </w:r>
          </w:p>
          <w:p>
            <w:pPr>
              <w:spacing w:after="20"/>
            </w:pPr>
            <w:r>
              <w:rPr>
                <w:rFonts w:ascii="Courier New" w:cs="Courier New" w:eastAsia="Courier New" w:hAnsi="Courier New"/>
                <w:color w:val="E2E8F0"/>
                <w:sz w:val="16"/>
                <w:szCs w:val="16"/>
              </w:rPr>
              <w:t xml:space="preserve">  grantor_name VARCHAR,   grantee_name VARCHAR,</w:t>
            </w:r>
          </w:p>
          <w:p>
            <w:pPr>
              <w:spacing w:after="20"/>
            </w:pPr>
            <w:r>
              <w:rPr>
                <w:rFonts w:ascii="Courier New" w:cs="Courier New" w:eastAsia="Courier New" w:hAnsi="Courier New"/>
                <w:color w:val="E2E8F0"/>
                <w:sz w:val="16"/>
                <w:szCs w:val="16"/>
              </w:rPr>
              <w:t xml:space="preserve">  scope_of_authority TEXT,   jurisdiction VARCHAR,</w:t>
            </w:r>
          </w:p>
          <w:p>
            <w:pPr>
              <w:spacing w:after="20"/>
            </w:pPr>
            <w:r>
              <w:rPr>
                <w:rFonts w:ascii="Courier New" w:cs="Courier New" w:eastAsia="Courier New" w:hAnsi="Courier New"/>
                <w:color w:val="E2E8F0"/>
                <w:sz w:val="16"/>
                <w:szCs w:val="16"/>
              </w:rPr>
              <w:t xml:space="preserve">  issue_date DATE,   expiry_date DATE,</w:t>
            </w:r>
          </w:p>
          <w:p>
            <w:pPr>
              <w:spacing w:after="20"/>
            </w:pPr>
            <w:r>
              <w:rPr>
                <w:rFonts w:ascii="Courier New" w:cs="Courier New" w:eastAsia="Courier New" w:hAnsi="Courier New"/>
                <w:color w:val="E2E8F0"/>
                <w:sz w:val="16"/>
                <w:szCs w:val="16"/>
              </w:rPr>
              <w:t xml:space="preserve">  attestation_status ENUM(pending, in_progress, complete, expired),</w:t>
            </w:r>
          </w:p>
          <w:p>
            <w:pPr>
              <w:spacing w:after="20"/>
            </w:pPr>
            <w:r>
              <w:rPr>
                <w:rFonts w:ascii="Courier New" w:cs="Courier New" w:eastAsia="Courier New" w:hAnsi="Courier New"/>
                <w:color w:val="E2E8F0"/>
                <w:sz w:val="16"/>
                <w:szCs w:val="16"/>
              </w:rPr>
              <w:t xml:space="preserve">  responsible_officer_id UUID → users,</w:t>
            </w:r>
          </w:p>
          <w:p>
            <w:pPr>
              <w:spacing w:after="20"/>
            </w:pPr>
            <w:r>
              <w:rPr>
                <w:rFonts w:ascii="Courier New" w:cs="Courier New" w:eastAsia="Courier New" w:hAnsi="Courier New"/>
                <w:color w:val="E2E8F0"/>
                <w:sz w:val="16"/>
                <w:szCs w:val="16"/>
              </w:rPr>
              <w:t xml:space="preserve">  revocation_date DATE,   revocation_reason TEXT,</w:t>
            </w:r>
          </w:p>
          <w:p>
            <w:pPr>
              <w:spacing w:after="20"/>
            </w:pPr>
            <w:r>
              <w:rPr>
                <w:rFonts w:ascii="Courier New" w:cs="Courier New" w:eastAsia="Courier New" w:hAnsi="Courier New"/>
                <w:color w:val="E2E8F0"/>
                <w:sz w:val="16"/>
                <w:szCs w:val="16"/>
              </w:rPr>
              <w:t xml:space="preserve">  extraction_confidence JSONB,   // {field: confidence_pct} per extracted field</w:t>
            </w:r>
          </w:p>
          <w:p>
            <w:pPr>
              <w:spacing w:after="20"/>
            </w:pPr>
            <w:r>
              <w:rPr>
                <w:rFonts w:ascii="Courier New" w:cs="Courier New" w:eastAsia="Courier New" w:hAnsi="Courier New"/>
                <w:color w:val="E2E8F0"/>
                <w:sz w:val="16"/>
                <w:szCs w:val="16"/>
              </w:rPr>
              <w:t xml:space="preserve">  import_source ENUM(excel, document_upload, manual_entry),</w:t>
            </w:r>
          </w:p>
          <w:p>
            <w:pPr>
              <w:spacing w:after="20"/>
            </w:pPr>
            <w:r>
              <w:rPr>
                <w:rFonts w:ascii="Courier New" w:cs="Courier New" w:eastAsia="Courier New" w:hAnsi="Courier New"/>
                <w:color w:val="E2E8F0"/>
                <w:sz w:val="16"/>
                <w:szCs w:val="16"/>
              </w:rPr>
              <w:t xml:space="preserve">  created_at TIMESTAMPTZ,   updated_at TIMESTAMPTZ</w:t>
            </w:r>
          </w:p>
          <w:p>
            <w:pPr>
              <w:spacing w:after="20"/>
            </w:pPr>
            <w:r>
              <w:rPr>
                <w:rFonts w:ascii="Courier New" w:cs="Courier New" w:eastAsia="Courier New" w:hAnsi="Courier New"/>
                <w:color w:val="E2E8F0"/>
                <w:sz w:val="16"/>
                <w:szCs w:val="16"/>
              </w:rPr>
              <w:t xml:space="preserve">}</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7BA3D4"/>
                <w:sz w:val="16"/>
                <w:szCs w:val="16"/>
              </w:rPr>
              <w:t xml:space="preserve">// Document link table (shared across all domains)</w:t>
            </w:r>
          </w:p>
          <w:p>
            <w:pPr>
              <w:spacing w:after="20"/>
            </w:pPr>
            <w:r>
              <w:rPr>
                <w:rFonts w:ascii="Courier New" w:cs="Courier New" w:eastAsia="Courier New" w:hAnsi="Courier New"/>
                <w:color w:val="E2E8F0"/>
                <w:sz w:val="16"/>
                <w:szCs w:val="16"/>
              </w:rPr>
              <w:t xml:space="preserve">legal_documents: {</w:t>
            </w:r>
          </w:p>
          <w:p>
            <w:pPr>
              <w:spacing w:after="20"/>
            </w:pPr>
            <w:r>
              <w:rPr>
                <w:rFonts w:ascii="Courier New" w:cs="Courier New" w:eastAsia="Courier New" w:hAnsi="Courier New"/>
                <w:color w:val="E2E8F0"/>
                <w:sz w:val="16"/>
                <w:szCs w:val="16"/>
              </w:rPr>
              <w:t xml:space="preserve">  id UUID PRIMARY KEY,</w:t>
            </w:r>
          </w:p>
          <w:p>
            <w:pPr>
              <w:spacing w:after="20"/>
            </w:pPr>
            <w:r>
              <w:rPr>
                <w:rFonts w:ascii="Courier New" w:cs="Courier New" w:eastAsia="Courier New" w:hAnsi="Courier New"/>
                <w:color w:val="E2E8F0"/>
                <w:sz w:val="16"/>
                <w:szCs w:val="16"/>
              </w:rPr>
              <w:t xml:space="preserve">  domain ENUM(poa, ip, licence, litigation),</w:t>
            </w:r>
          </w:p>
          <w:p>
            <w:pPr>
              <w:spacing w:after="20"/>
            </w:pPr>
            <w:r>
              <w:rPr>
                <w:rFonts w:ascii="Courier New" w:cs="Courier New" w:eastAsia="Courier New" w:hAnsi="Courier New"/>
                <w:color w:val="E2E8F0"/>
                <w:sz w:val="16"/>
                <w:szCs w:val="16"/>
              </w:rPr>
              <w:t xml:space="preserve">  record_id UUID,   // FK to the domain primary table</w:t>
            </w:r>
          </w:p>
          <w:p>
            <w:pPr>
              <w:spacing w:after="20"/>
            </w:pPr>
            <w:r>
              <w:rPr>
                <w:rFonts w:ascii="Courier New" w:cs="Courier New" w:eastAsia="Courier New" w:hAnsi="Courier New"/>
                <w:color w:val="E2E8F0"/>
                <w:sz w:val="16"/>
                <w:szCs w:val="16"/>
              </w:rPr>
              <w:t xml:space="preserve">  document_type VARCHAR,   storage_url TEXT,</w:t>
            </w:r>
          </w:p>
          <w:p>
            <w:pPr>
              <w:spacing w:after="20"/>
            </w:pPr>
            <w:r>
              <w:rPr>
                <w:rFonts w:ascii="Courier New" w:cs="Courier New" w:eastAsia="Courier New" w:hAnsi="Courier New"/>
                <w:color w:val="E2E8F0"/>
                <w:sz w:val="16"/>
                <w:szCs w:val="16"/>
              </w:rPr>
              <w:t xml:space="preserve">  is_privileged BOOLEAN DEFAULT false,</w:t>
            </w:r>
          </w:p>
          <w:p>
            <w:pPr>
              <w:spacing w:after="20"/>
            </w:pPr>
            <w:r>
              <w:rPr>
                <w:rFonts w:ascii="Courier New" w:cs="Courier New" w:eastAsia="Courier New" w:hAnsi="Courier New"/>
                <w:color w:val="E2E8F0"/>
                <w:sz w:val="16"/>
                <w:szCs w:val="16"/>
              </w:rPr>
              <w:t xml:space="preserve">  uploaded_by UUID,   uploaded_at TIMESTAMPTZ,</w:t>
            </w:r>
          </w:p>
          <w:p>
            <w:pPr>
              <w:spacing w:after="20"/>
            </w:pPr>
            <w:r>
              <w:rPr>
                <w:rFonts w:ascii="Courier New" w:cs="Courier New" w:eastAsia="Courier New" w:hAnsi="Courier New"/>
                <w:color w:val="E2E8F0"/>
                <w:sz w:val="16"/>
                <w:szCs w:val="16"/>
              </w:rPr>
              <w:t xml:space="preserve">  ocr_text TEXT,   extraction_result JSONB</w:t>
            </w:r>
          </w:p>
          <w:p>
            <w:pPr>
              <w:spacing w:after="20"/>
            </w:pPr>
            <w:r>
              <w:rPr>
                <w:rFonts w:ascii="Courier New" w:cs="Courier New" w:eastAsia="Courier New" w:hAnsi="Courier New"/>
                <w:color w:val="E2E8F0"/>
                <w:sz w:val="16"/>
                <w:szCs w:val="16"/>
              </w:rPr>
              <w:t xml:space="preserve">}</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7BA3D4"/>
                <w:sz w:val="16"/>
                <w:szCs w:val="16"/>
              </w:rPr>
              <w:t xml:space="preserve">// Cross-domain relationships (dependency graph, M&amp;A links)</w:t>
            </w:r>
          </w:p>
          <w:p>
            <w:pPr>
              <w:spacing w:after="20"/>
            </w:pPr>
            <w:r>
              <w:rPr>
                <w:rFonts w:ascii="Courier New" w:cs="Courier New" w:eastAsia="Courier New" w:hAnsi="Courier New"/>
                <w:color w:val="E2E8F0"/>
                <w:sz w:val="16"/>
                <w:szCs w:val="16"/>
              </w:rPr>
              <w:t xml:space="preserve">legal_asset_relationships: {</w:t>
            </w:r>
          </w:p>
          <w:p>
            <w:pPr>
              <w:spacing w:after="20"/>
            </w:pPr>
            <w:r>
              <w:rPr>
                <w:rFonts w:ascii="Courier New" w:cs="Courier New" w:eastAsia="Courier New" w:hAnsi="Courier New"/>
                <w:color w:val="E2E8F0"/>
                <w:sz w:val="16"/>
                <w:szCs w:val="16"/>
              </w:rPr>
              <w:t xml:space="preserve">  id UUID PRIMARY KEY,</w:t>
            </w:r>
          </w:p>
          <w:p>
            <w:pPr>
              <w:spacing w:after="20"/>
            </w:pPr>
            <w:r>
              <w:rPr>
                <w:rFonts w:ascii="Courier New" w:cs="Courier New" w:eastAsia="Courier New" w:hAnsi="Courier New"/>
                <w:color w:val="E2E8F0"/>
                <w:sz w:val="16"/>
                <w:szCs w:val="16"/>
              </w:rPr>
              <w:t xml:space="preserve">  from_domain VARCHAR,   from_record_id UUID,</w:t>
            </w:r>
          </w:p>
          <w:p>
            <w:pPr>
              <w:spacing w:after="20"/>
            </w:pPr>
            <w:r>
              <w:rPr>
                <w:rFonts w:ascii="Courier New" w:cs="Courier New" w:eastAsia="Courier New" w:hAnsi="Courier New"/>
                <w:color w:val="E2E8F0"/>
                <w:sz w:val="16"/>
                <w:szCs w:val="16"/>
              </w:rPr>
              <w:t xml:space="preserve">  to_domain VARCHAR,     to_record_id UUID,</w:t>
            </w:r>
          </w:p>
          <w:p>
            <w:pPr>
              <w:spacing w:after="20"/>
            </w:pPr>
            <w:r>
              <w:rPr>
                <w:rFonts w:ascii="Courier New" w:cs="Courier New" w:eastAsia="Courier New" w:hAnsi="Courier New"/>
                <w:color w:val="E2E8F0"/>
                <w:sz w:val="16"/>
                <w:szCs w:val="16"/>
              </w:rPr>
              <w:t xml:space="preserve">  relationship_type ENUM(depends_on, required_before, related_case, governs),</w:t>
            </w:r>
          </w:p>
          <w:p>
            <w:pPr>
              <w:spacing w:after="20"/>
            </w:pPr>
            <w:r>
              <w:rPr>
                <w:rFonts w:ascii="Courier New" w:cs="Courier New" w:eastAsia="Courier New" w:hAnsi="Courier New"/>
                <w:color w:val="E2E8F0"/>
                <w:sz w:val="16"/>
                <w:szCs w:val="16"/>
              </w:rPr>
              <w:t xml:space="preserve">  created_by UUID,   source ENUM(manual, system_inferred, import)</w:t>
            </w:r>
          </w:p>
          <w:p>
            <w:pPr>
              <w:spacing w:after="20"/>
            </w:pPr>
            <w:r>
              <w:rPr>
                <w:rFonts w:ascii="Courier New" w:cs="Courier New" w:eastAsia="Courier New" w:hAnsi="Courier New"/>
                <w:color w:val="E2E8F0"/>
                <w:sz w:val="16"/>
                <w:szCs w:val="16"/>
              </w:rPr>
              <w:t xml:space="preserve">}</w:t>
            </w:r>
          </w:p>
          <w:p>
            <w:pPr>
              <w:spacing w:after="20"/>
            </w:pPr>
            <w:r>
              <w:rPr>
                <w:rFonts w:ascii="Courier New" w:cs="Courier New" w:eastAsia="Courier New" w:hAnsi="Courier New"/>
                <w:color w:val="E2E8F0"/>
                <w:sz w:val="16"/>
                <w:szCs w:val="16"/>
              </w:rPr>
              <w:t xml:space="preserve"> </w:t>
            </w:r>
          </w:p>
          <w:p>
            <w:pPr>
              <w:spacing w:after="20"/>
            </w:pPr>
            <w:r>
              <w:rPr>
                <w:rFonts w:ascii="Courier New" w:cs="Courier New" w:eastAsia="Courier New" w:hAnsi="Courier New"/>
                <w:color w:val="7BA3D4"/>
                <w:sz w:val="16"/>
                <w:szCs w:val="16"/>
              </w:rPr>
              <w:t xml:space="preserve">// Change log (shared, append-only)</w:t>
            </w:r>
          </w:p>
          <w:p>
            <w:pPr>
              <w:spacing w:after="20"/>
            </w:pPr>
            <w:r>
              <w:rPr>
                <w:rFonts w:ascii="Courier New" w:cs="Courier New" w:eastAsia="Courier New" w:hAnsi="Courier New"/>
                <w:color w:val="E2E8F0"/>
                <w:sz w:val="16"/>
                <w:szCs w:val="16"/>
              </w:rPr>
              <w:t xml:space="preserve">legal_change_log: {</w:t>
            </w:r>
          </w:p>
          <w:p>
            <w:pPr>
              <w:spacing w:after="20"/>
            </w:pPr>
            <w:r>
              <w:rPr>
                <w:rFonts w:ascii="Courier New" w:cs="Courier New" w:eastAsia="Courier New" w:hAnsi="Courier New"/>
                <w:color w:val="E2E8F0"/>
                <w:sz w:val="16"/>
                <w:szCs w:val="16"/>
              </w:rPr>
              <w:t xml:space="preserve">  id UUID PRIMARY KEY,</w:t>
            </w:r>
          </w:p>
          <w:p>
            <w:pPr>
              <w:spacing w:after="20"/>
            </w:pPr>
            <w:r>
              <w:rPr>
                <w:rFonts w:ascii="Courier New" w:cs="Courier New" w:eastAsia="Courier New" w:hAnsi="Courier New"/>
                <w:color w:val="E2E8F0"/>
                <w:sz w:val="16"/>
                <w:szCs w:val="16"/>
              </w:rPr>
              <w:t xml:space="preserve">  domain VARCHAR,   record_id UUID,</w:t>
            </w:r>
          </w:p>
          <w:p>
            <w:pPr>
              <w:spacing w:after="20"/>
            </w:pPr>
            <w:r>
              <w:rPr>
                <w:rFonts w:ascii="Courier New" w:cs="Courier New" w:eastAsia="Courier New" w:hAnsi="Courier New"/>
                <w:color w:val="E2E8F0"/>
                <w:sz w:val="16"/>
                <w:szCs w:val="16"/>
              </w:rPr>
              <w:t xml:space="preserve">  event_type VARCHAR,   field_changed VARCHAR,</w:t>
            </w:r>
          </w:p>
          <w:p>
            <w:pPr>
              <w:spacing w:after="20"/>
            </w:pPr>
            <w:r>
              <w:rPr>
                <w:rFonts w:ascii="Courier New" w:cs="Courier New" w:eastAsia="Courier New" w:hAnsi="Courier New"/>
                <w:color w:val="E2E8F0"/>
                <w:sz w:val="16"/>
                <w:szCs w:val="16"/>
              </w:rPr>
              <w:t xml:space="preserve">  old_value TEXT,   new_value TEXT,</w:t>
            </w:r>
          </w:p>
          <w:p>
            <w:pPr>
              <w:spacing w:after="20"/>
            </w:pPr>
            <w:r>
              <w:rPr>
                <w:rFonts w:ascii="Courier New" w:cs="Courier New" w:eastAsia="Courier New" w:hAnsi="Courier New"/>
                <w:color w:val="E2E8F0"/>
                <w:sz w:val="16"/>
                <w:szCs w:val="16"/>
              </w:rPr>
              <w:t xml:space="preserve">  performed_by UUID,   source VARCHAR,</w:t>
            </w:r>
          </w:p>
          <w:p>
            <w:pPr>
              <w:spacing w:after="20"/>
            </w:pPr>
            <w:r>
              <w:rPr>
                <w:rFonts w:ascii="Courier New" w:cs="Courier New" w:eastAsia="Courier New" w:hAnsi="Courier New"/>
                <w:color w:val="E2E8F0"/>
                <w:sz w:val="16"/>
                <w:szCs w:val="16"/>
              </w:rPr>
              <w:t xml:space="preserve">  created_at TIMESTAMPTZ</w:t>
            </w:r>
          </w:p>
          <w:p>
            <w:pPr>
              <w:spacing w:after="20"/>
            </w:pPr>
            <w:r>
              <w:rPr>
                <w:rFonts w:ascii="Courier New" w:cs="Courier New" w:eastAsia="Courier New" w:hAnsi="Courier New"/>
                <w:color w:val="E2E8F0"/>
                <w:sz w:val="16"/>
                <w:szCs w:val="16"/>
              </w:rPr>
              <w:t xml:space="preserve">}</w:t>
            </w:r>
          </w:p>
        </w:tc>
      </w:tr>
    </w:tbl>
    <w:p>
      <w:pPr>
        <w:spacing w:after="200"/>
      </w:pPr>
      <w:r>
        <w:rPr>
          <w:rFonts w:ascii="Arial" w:cs="Arial" w:eastAsia="Arial" w:hAnsi="Arial"/>
          <w:sz w:val="20"/>
          <w:szCs w:val="20"/>
        </w:rPr>
        <w:t xml:space="preserve"/>
      </w:r>
    </w:p>
    <w:p>
      <w:pPr>
        <w:pBdr>
          <w:bottom w:val="single" w:color="E2E8F0" w:sz="4" w:space="1"/>
        </w:pBd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A1628" w:val="clear"/>
            <w:tcMar>
              <w:top w:type="dxa" w:w="80"/>
              <w:left w:type="dxa" w:w="130"/>
              <w:bottom w:type="dxa" w:w="80"/>
              <w:right w:type="dxa" w:w="130"/>
            </w:tcMar>
            <w:vAlign w:val="top"/>
          </w:tcPr>
          <w:p>
            <w:pPr>
              <w:jc w:val="center"/>
            </w:pPr>
            <w:r>
              <w:rPr>
                <w:rFonts w:ascii="Arial" w:cs="Arial" w:eastAsia="Arial" w:hAnsi="Arial"/>
                <w:b/>
                <w:bCs/>
                <w:color w:val="FFFFFF"/>
                <w:sz w:val="22"/>
                <w:szCs w:val="22"/>
              </w:rPr>
              <w:t xml:space="preserve">09</w:t>
            </w:r>
          </w:p>
        </w:tc>
        <w:tc>
          <w:tcPr>
            <w:tcW w:type="dxa" w:w="8460"/>
            <w:tcBorders>
              <w:top w:val="none" w:color="FFFFFF" w:sz="0"/>
              <w:left w:val="none" w:color="FFFFFF" w:sz="0"/>
              <w:bottom w:val="none" w:color="FFFFFF" w:sz="0"/>
              <w:right w:val="none" w:color="FFFFFF" w:sz="0"/>
            </w:tcBorders>
            <w:shd w:fill="1A4DB5" w:val="clear"/>
            <w:tcMar>
              <w:top w:type="dxa" w:w="80"/>
              <w:left w:type="dxa" w:w="130"/>
              <w:bottom w:type="dxa" w:w="80"/>
              <w:right w:type="dxa" w:w="130"/>
            </w:tcMar>
            <w:vAlign w:val="top"/>
          </w:tcPr>
          <w:p>
            <w:r>
              <w:rPr>
                <w:rFonts w:ascii="Arial" w:cs="Arial" w:eastAsia="Arial" w:hAnsi="Arial"/>
                <w:b/>
                <w:bCs/>
                <w:color w:val="FFFFFF"/>
                <w:sz w:val="22"/>
                <w:szCs w:val="22"/>
              </w:rPr>
              <w:t xml:space="preserve">Open Decisions — Product Team Review Required</w:t>
            </w:r>
          </w:p>
        </w:tc>
      </w:tr>
    </w:tbl>
    <w:p>
      <w:pPr>
        <w:spacing w:after="80"/>
      </w:pPr>
      <w:r>
        <w:rPr>
          <w:rFonts w:ascii="Arial" w:cs="Arial" w:eastAsia="Arial" w:hAnsi="Arial"/>
          <w:sz w:val="20"/>
          <w:szCs w:val="20"/>
        </w:rPr>
        <w:t xml:space="preserve"/>
      </w:r>
    </w:p>
    <w:p>
      <w:pPr>
        <w:spacing w:after="110"/>
      </w:pPr>
      <w:r>
        <w:rPr>
          <w:rFonts w:ascii="Arial" w:cs="Arial" w:eastAsia="Arial" w:hAnsi="Arial"/>
          <w:color w:val="1E293B"/>
          <w:sz w:val="20"/>
          <w:szCs w:val="20"/>
        </w:rPr>
        <w:t xml:space="preserve">The following items require product team decision before Phase 1 engineering begins. They are not blockers to starting, but decisions made after development starts will be more expensive to change.</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400"/>
        <w:gridCol w:w="2800"/>
        <w:gridCol w:w="2500"/>
        <w:gridCol w:w="1440"/>
      </w:tblGrid>
      <w:tr>
        <w:trPr>
          <w:tblHeader/>
        </w:trPr>
        <w:tc>
          <w:tcPr>
            <w:tcW w:type="dxa" w:w="38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w:t>
            </w:r>
          </w:p>
        </w:tc>
        <w:tc>
          <w:tcPr>
            <w:tcW w:type="dxa" w:w="24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Decision</w:t>
            </w:r>
          </w:p>
        </w:tc>
        <w:tc>
          <w:tcPr>
            <w:tcW w:type="dxa" w:w="28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Options</w:t>
            </w:r>
          </w:p>
        </w:tc>
        <w:tc>
          <w:tcPr>
            <w:tcW w:type="dxa" w:w="250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Recommendation</w:t>
            </w:r>
          </w:p>
        </w:tc>
        <w:tc>
          <w:tcPr>
            <w:tcW w:type="dxa" w:w="1440"/>
            <w:tcBorders>
              <w:top w:val="single" w:color="0A1628" w:sz="1"/>
              <w:left w:val="single" w:color="0A1628" w:sz="1"/>
              <w:bottom w:val="single" w:color="0A1628" w:sz="1"/>
              <w:right w:val="single" w:color="0A1628" w:sz="1"/>
            </w:tcBorders>
            <w:shd w:fill="0A1628" w:val="clear"/>
            <w:tcMar>
              <w:top w:type="dxa" w:w="80"/>
              <w:left w:type="dxa" w:w="130"/>
              <w:bottom w:type="dxa" w:w="80"/>
              <w:right w:type="dxa" w:w="130"/>
            </w:tcMar>
            <w:vAlign w:val="top"/>
          </w:tcPr>
          <w:p>
            <w:r>
              <w:rPr>
                <w:rFonts w:ascii="Arial" w:cs="Arial" w:eastAsia="Arial" w:hAnsi="Arial"/>
                <w:b/>
                <w:bCs/>
                <w:color w:val="FFFFFF"/>
                <w:sz w:val="18"/>
                <w:szCs w:val="18"/>
              </w:rPr>
              <w:t xml:space="preserve">Owner</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D1</w:t>
            </w:r>
          </w:p>
        </w:tc>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Employee list for grantee cross-reference: how is it maintained?</w:t>
            </w:r>
          </w:p>
        </w:tc>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(a) Manual entry in platform, (b) CSV upload periodically, (c) HR system integration (Phase 2+)</w:t>
            </w:r>
          </w:p>
        </w:tc>
        <w:tc>
          <w:tcPr>
            <w:tcW w:type="dxa" w:w="2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Start with (b) for Phase 1. Design API hook for (c) in Phase 2 data model.</w:t>
            </w:r>
          </w:p>
        </w:tc>
        <w:tc>
          <w:tcPr>
            <w:tcW w:type="dxa" w:w="144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Product</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D2</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Alert routing: when multiple responsible officers exist for one entity, who receives alerts?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(a) All officers, (b) Primary officer only, (c) Configurable per record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(c) is best UX but adds Phase 1 complexity. Start with (a) with option to mute per user.</w:t>
            </w:r>
          </w:p>
        </w:tc>
        <w:tc>
          <w:tcPr>
            <w:tcW w:type="dxa" w:w="14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Product + UX</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D3</w:t>
            </w:r>
          </w:p>
        </w:tc>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Validity certificates for POA: what format and signature authority?</w:t>
            </w:r>
          </w:p>
        </w:tc>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(a) Platform-generated PDF (internal use), (b) Signed by Head of Legal via DocuSign integration, (c) Simple confirmation letter</w:t>
            </w:r>
          </w:p>
        </w:tc>
        <w:tc>
          <w:tcPr>
            <w:tcW w:type="dxa" w:w="2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(a) for Phase 1. DocuSign integration in Phase 2 if customer demand confirmed.</w:t>
            </w:r>
          </w:p>
        </w:tc>
        <w:tc>
          <w:tcPr>
            <w:tcW w:type="dxa" w:w="144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Product</w:t>
            </w:r>
          </w:p>
        </w:tc>
      </w:tr>
      <w:tr>
        <w:tc>
          <w:tcPr>
            <w:tcW w:type="dxa" w:w="3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D4</w:t>
            </w:r>
          </w:p>
        </w:tc>
        <w:tc>
          <w:tcPr>
            <w:tcW w:type="dxa" w:w="24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Litigation document privilege tagging: who can untag a privileged document?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(a) Head of Legal only, (b) Any user with Legal Manager role, (c) Configurable per entity</w:t>
            </w:r>
          </w:p>
        </w:tc>
        <w:tc>
          <w:tcPr>
            <w:tcW w:type="dxa" w:w="2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(a) is safest legally. Define in RBAC spec before Phase 3 litigation module.</w:t>
            </w:r>
          </w:p>
        </w:tc>
        <w:tc>
          <w:tcPr>
            <w:tcW w:type="dxa" w:w="144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r>
              <w:rPr>
                <w:rFonts w:ascii="Arial" w:cs="Arial" w:eastAsia="Arial" w:hAnsi="Arial"/>
                <w:color w:val="1E293B"/>
                <w:sz w:val="17"/>
                <w:szCs w:val="17"/>
              </w:rPr>
              <w:t xml:space="preserve">Legal + Product</w:t>
            </w:r>
          </w:p>
        </w:tc>
      </w:tr>
      <w:tr>
        <w:tc>
          <w:tcPr>
            <w:tcW w:type="dxa" w:w="38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D5</w:t>
            </w:r>
          </w:p>
        </w:tc>
        <w:tc>
          <w:tcPr>
            <w:tcW w:type="dxa" w:w="24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LOHS sector weighting: who maintains the sector weight tables?</w:t>
            </w:r>
          </w:p>
        </w:tc>
        <w:tc>
          <w:tcPr>
            <w:tcW w:type="dxa" w:w="28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(a) Platform team hardcodes, (b) Customer admin can customise, (c) Both (platform defaults + customer override)</w:t>
            </w:r>
          </w:p>
        </w:tc>
        <w:tc>
          <w:tcPr>
            <w:tcW w:type="dxa" w:w="250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(c) provides most value. Build (a) in Phase 3, add (b) in Phase 3+ iteration.</w:t>
            </w:r>
          </w:p>
        </w:tc>
        <w:tc>
          <w:tcPr>
            <w:tcW w:type="dxa" w:w="1440"/>
            <w:tcBorders>
              <w:top w:val="single" w:color="E2E8F0" w:sz="1"/>
              <w:left w:val="single" w:color="E2E8F0" w:sz="1"/>
              <w:bottom w:val="single" w:color="E2E8F0" w:sz="1"/>
              <w:right w:val="single" w:color="E2E8F0" w:sz="1"/>
            </w:tcBorders>
            <w:shd w:fill="F1F5F9" w:val="clear"/>
            <w:tcMar>
              <w:top w:type="dxa" w:w="80"/>
              <w:left w:type="dxa" w:w="130"/>
              <w:bottom w:type="dxa" w:w="80"/>
              <w:right w:type="dxa" w:w="130"/>
            </w:tcMar>
            <w:vAlign w:val="top"/>
          </w:tcPr>
          <w:p>
            <w:r>
              <w:rPr>
                <w:rFonts w:ascii="Arial" w:cs="Arial" w:eastAsia="Arial" w:hAnsi="Arial"/>
                <w:color w:val="1E293B"/>
                <w:sz w:val="17"/>
                <w:szCs w:val="17"/>
              </w:rPr>
              <w:t xml:space="preserve">Product</w:t>
            </w:r>
          </w:p>
        </w:tc>
      </w:tr>
    </w:tbl>
    <w:p>
      <w:pPr>
        <w:spacing w:after="20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A1628" w:val="clear"/>
            <w:tcMar>
              <w:top w:type="dxa" w:w="200"/>
              <w:left w:type="dxa" w:w="440"/>
              <w:bottom w:type="dxa" w:w="200"/>
              <w:right w:type="dxa" w:w="440"/>
            </w:tcMar>
          </w:tcPr>
          <w:p>
            <w:pPr>
              <w:spacing w:after="60"/>
              <w:jc w:val="center"/>
            </w:pPr>
            <w:r>
              <w:rPr>
                <w:rFonts w:ascii="Arial" w:cs="Arial" w:eastAsia="Arial" w:hAnsi="Arial"/>
                <w:b/>
                <w:bCs/>
                <w:color w:val="FFFFFF"/>
                <w:sz w:val="20"/>
                <w:szCs w:val="20"/>
              </w:rPr>
              <w:t xml:space="preserve">GRC Dashboard — Legal Operations Module Product Specification</w:t>
            </w:r>
          </w:p>
          <w:p>
            <w:pPr>
              <w:jc w:val="center"/>
            </w:pPr>
            <w:r>
              <w:rPr>
                <w:rFonts w:ascii="Arial" w:cs="Arial" w:eastAsia="Arial" w:hAnsi="Arial"/>
                <w:color w:val="7BA3D4"/>
                <w:sz w:val="17"/>
                <w:szCs w:val="17"/>
              </w:rPr>
              <w:t xml:space="preserve">Version 1.0  |  March 2025  |  Product &amp; Engineering  |  Internal Use Only</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pPr>
    <w:r>
      <w:rPr>
        <w:rFonts w:ascii="Arial" w:cs="Arial" w:eastAsia="Arial" w:hAnsi="Arial"/>
        <w:sz w:val="20"/>
        <w:szCs w:val="20"/>
      </w:rPr>
      <w:t xml:space="preserve"/>
    </w:r>
  </w:p>
  <w:p>
    <w:pPr>
      <w:tabs>
        <w:tab w:val="right" w:pos="9026"/>
      </w:tabs>
    </w:pPr>
    <w:r>
      <w:rPr>
        <w:rFonts w:ascii="Arial" w:cs="Arial" w:eastAsia="Arial" w:hAnsi="Arial"/>
        <w:color w:val="64748B"/>
        <w:sz w:val="16"/>
        <w:szCs w:val="16"/>
      </w:rPr>
      <w:t xml:space="preserve">GRC Dashboard © 2025  |  Legal Ops Specification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600"/>
      <w:gridCol w:w="312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100"/>
          </w:pPr>
          <w:r>
            <w:rPr>
              <w:rFonts w:ascii="Arial" w:cs="Arial" w:eastAsia="Arial" w:hAnsi="Arial"/>
              <w:color w:val="64748B"/>
              <w:sz w:val="16"/>
              <w:szCs w:val="16"/>
            </w:rPr>
            <w:t xml:space="preserve">GRC Dashboard — Legal Operations Module — Product Specification</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bCs/>
              <w:color w:val="1A4DB5"/>
              <w:sz w:val="16"/>
              <w:szCs w:val="16"/>
            </w:rPr>
            <w:t xml:space="preserve">Internal — Product &amp; Engineering</w:t>
          </w:r>
        </w:p>
      </w:tc>
    </w:tr>
  </w:tbl>
  <w:p>
    <w:pPr>
      <w:pBdr>
        <w:bottom w:val="single" w:color="1A4DB5" w:sz="4" w:space="1"/>
      </w:pBdr>
    </w:pPr>
    <w:r>
      <w:rPr>
        <w:rFonts w:ascii="Arial" w:cs="Arial" w:eastAsia="Arial" w:hAnsi="Arial"/>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A1628"/>
      <w:sz w:val="38"/>
      <w:szCs w:val="38"/>
    </w:rPr>
  </w:style>
  <w:style w:type="paragraph" w:styleId="Heading2">
    <w:name w:val="Heading 2"/>
    <w:basedOn w:val="Normal"/>
    <w:next w:val="Normal"/>
    <w:qFormat/>
    <w:pPr>
      <w:spacing w:before="260" w:after="120"/>
      <w:outlineLvl w:val="1"/>
    </w:pPr>
    <w:rPr>
      <w:rFonts w:ascii="Arial" w:cs="Arial" w:eastAsia="Arial" w:hAnsi="Arial"/>
      <w:b/>
      <w:bCs/>
      <w:color w:val="1A4DB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2026-03-04T04:39:52.298Z</dcterms:created>
  <dcterms:modified xsi:type="dcterms:W3CDTF">2026-03-04T04:39:52.299Z</dcterms:modified>
</cp:coreProperties>
</file>

<file path=docProps/custom.xml><?xml version="1.0" encoding="utf-8"?>
<Properties xmlns="http://schemas.openxmlformats.org/officeDocument/2006/custom-properties" xmlns:vt="http://schemas.openxmlformats.org/officeDocument/2006/docPropsVTypes"/>
</file>